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2CF0A" w14:textId="77777777" w:rsidR="00EF00A5" w:rsidRDefault="00000000">
      <w:pPr>
        <w:jc w:val="center"/>
        <w:rPr>
          <w:rFonts w:ascii="Garamond" w:eastAsia="Garamond" w:hAnsi="Garamond" w:cs="Garamond"/>
          <w:b/>
          <w:sz w:val="28"/>
          <w:szCs w:val="28"/>
        </w:rPr>
      </w:pPr>
      <w:r>
        <w:rPr>
          <w:rFonts w:ascii="Garamond" w:eastAsia="Garamond" w:hAnsi="Garamond" w:cs="Garamond"/>
          <w:b/>
          <w:sz w:val="28"/>
          <w:szCs w:val="28"/>
        </w:rPr>
        <w:t>Digital–Green Synergies in Practice: How Emerging and Developed Markets Integrate Technology for Sustainable Value Creation</w:t>
      </w:r>
    </w:p>
    <w:p w14:paraId="03DD72DA" w14:textId="27C0BB4D" w:rsidR="00EF00A5" w:rsidRPr="009D487D" w:rsidRDefault="00000000" w:rsidP="009D487D">
      <w:pPr>
        <w:spacing w:after="0"/>
        <w:jc w:val="center"/>
        <w:rPr>
          <w:rFonts w:ascii="Garamond" w:eastAsia="Arial" w:hAnsi="Garamond" w:cs="Arial"/>
          <w:b/>
          <w:sz w:val="24"/>
          <w:szCs w:val="24"/>
        </w:rPr>
      </w:pPr>
      <w:r w:rsidRPr="009D487D">
        <w:rPr>
          <w:rFonts w:ascii="Garamond" w:eastAsia="Arial" w:hAnsi="Garamond" w:cs="Arial"/>
          <w:b/>
          <w:sz w:val="24"/>
          <w:szCs w:val="24"/>
        </w:rPr>
        <w:t>Sunarno</w:t>
      </w:r>
      <w:r w:rsidRPr="009D487D">
        <w:rPr>
          <w:rFonts w:ascii="Garamond" w:eastAsia="Arial" w:hAnsi="Garamond" w:cs="Arial"/>
          <w:b/>
          <w:sz w:val="24"/>
          <w:szCs w:val="24"/>
          <w:vertAlign w:val="superscript"/>
        </w:rPr>
        <w:t>1</w:t>
      </w:r>
      <w:r w:rsidRPr="009D487D">
        <w:rPr>
          <w:rFonts w:ascii="Garamond" w:eastAsia="Arial" w:hAnsi="Garamond" w:cs="Arial"/>
          <w:b/>
          <w:sz w:val="24"/>
          <w:szCs w:val="24"/>
        </w:rPr>
        <w:t>,</w:t>
      </w:r>
      <w:r w:rsidR="009D487D">
        <w:rPr>
          <w:rFonts w:ascii="Garamond" w:eastAsia="Arial" w:hAnsi="Garamond" w:cs="Arial"/>
          <w:b/>
          <w:sz w:val="24"/>
          <w:szCs w:val="24"/>
        </w:rPr>
        <w:t xml:space="preserve"> </w:t>
      </w:r>
      <w:r w:rsidRPr="009D487D">
        <w:rPr>
          <w:rFonts w:ascii="Garamond" w:eastAsia="Arial" w:hAnsi="Garamond" w:cs="Arial"/>
          <w:b/>
          <w:sz w:val="24"/>
          <w:szCs w:val="24"/>
        </w:rPr>
        <w:t>Karno Diantoro</w:t>
      </w:r>
      <w:r w:rsidRPr="009D487D">
        <w:rPr>
          <w:rFonts w:ascii="Garamond" w:eastAsia="Arial" w:hAnsi="Garamond" w:cs="Arial"/>
          <w:b/>
          <w:sz w:val="24"/>
          <w:szCs w:val="24"/>
          <w:vertAlign w:val="superscript"/>
        </w:rPr>
        <w:t>2</w:t>
      </w:r>
      <w:r w:rsidRPr="009D487D">
        <w:rPr>
          <w:rFonts w:ascii="Garamond" w:eastAsia="Arial" w:hAnsi="Garamond" w:cs="Arial"/>
          <w:b/>
          <w:sz w:val="24"/>
          <w:szCs w:val="24"/>
        </w:rPr>
        <w:t>, Lia Marthalia</w:t>
      </w:r>
      <w:r w:rsidRPr="009D487D">
        <w:rPr>
          <w:rFonts w:ascii="Garamond" w:eastAsia="Arial" w:hAnsi="Garamond" w:cs="Arial"/>
          <w:b/>
          <w:sz w:val="24"/>
          <w:szCs w:val="24"/>
          <w:vertAlign w:val="superscript"/>
        </w:rPr>
        <w:t>3</w:t>
      </w:r>
    </w:p>
    <w:p w14:paraId="618BBBDC" w14:textId="130B360E" w:rsidR="00EF00A5" w:rsidRPr="009D487D" w:rsidRDefault="00000000" w:rsidP="009D487D">
      <w:pPr>
        <w:spacing w:after="0"/>
        <w:jc w:val="center"/>
        <w:rPr>
          <w:rFonts w:ascii="Garamond" w:eastAsia="Arial" w:hAnsi="Garamond" w:cs="Arial"/>
          <w:b/>
          <w:sz w:val="24"/>
          <w:szCs w:val="24"/>
        </w:rPr>
      </w:pPr>
      <w:r w:rsidRPr="009D487D">
        <w:rPr>
          <w:rFonts w:ascii="Garamond" w:eastAsia="Arial" w:hAnsi="Garamond" w:cs="Arial"/>
          <w:b/>
          <w:sz w:val="24"/>
          <w:szCs w:val="24"/>
          <w:vertAlign w:val="superscript"/>
        </w:rPr>
        <w:t>1</w:t>
      </w:r>
      <w:r w:rsidRPr="009D487D">
        <w:rPr>
          <w:rFonts w:ascii="Garamond" w:eastAsia="Arial" w:hAnsi="Garamond" w:cs="Arial"/>
          <w:b/>
          <w:sz w:val="24"/>
          <w:szCs w:val="24"/>
        </w:rPr>
        <w:t>Universitas Islam As-</w:t>
      </w:r>
      <w:proofErr w:type="spellStart"/>
      <w:r w:rsidRPr="009D487D">
        <w:rPr>
          <w:rFonts w:ascii="Garamond" w:eastAsia="Arial" w:hAnsi="Garamond" w:cs="Arial"/>
          <w:b/>
          <w:sz w:val="24"/>
          <w:szCs w:val="24"/>
        </w:rPr>
        <w:t>Syafi’iyah</w:t>
      </w:r>
      <w:proofErr w:type="spellEnd"/>
      <w:r w:rsidRPr="009D487D">
        <w:rPr>
          <w:rFonts w:ascii="Garamond" w:eastAsia="Arial" w:hAnsi="Garamond" w:cs="Arial"/>
          <w:b/>
          <w:sz w:val="24"/>
          <w:szCs w:val="24"/>
        </w:rPr>
        <w:t>,</w:t>
      </w:r>
      <w:r w:rsidR="009D487D">
        <w:rPr>
          <w:rFonts w:ascii="Garamond" w:eastAsia="Arial" w:hAnsi="Garamond" w:cs="Arial"/>
          <w:b/>
          <w:sz w:val="24"/>
          <w:szCs w:val="24"/>
        </w:rPr>
        <w:t xml:space="preserve"> </w:t>
      </w:r>
      <w:r w:rsidRPr="009D487D">
        <w:rPr>
          <w:rFonts w:ascii="Garamond" w:eastAsia="Arial" w:hAnsi="Garamond" w:cs="Arial"/>
          <w:b/>
          <w:sz w:val="24"/>
          <w:szCs w:val="24"/>
        </w:rPr>
        <w:t>Indonesia</w:t>
      </w:r>
    </w:p>
    <w:p w14:paraId="48B2C4A5" w14:textId="27DE37B0" w:rsidR="00EF00A5" w:rsidRDefault="00000000" w:rsidP="009D487D">
      <w:pPr>
        <w:spacing w:after="0"/>
        <w:jc w:val="center"/>
        <w:rPr>
          <w:rFonts w:ascii="Garamond" w:eastAsia="Arial" w:hAnsi="Garamond" w:cs="Arial"/>
          <w:b/>
          <w:sz w:val="24"/>
          <w:szCs w:val="24"/>
        </w:rPr>
      </w:pPr>
      <w:r w:rsidRPr="009D487D">
        <w:rPr>
          <w:rFonts w:ascii="Garamond" w:eastAsia="Arial" w:hAnsi="Garamond" w:cs="Arial"/>
          <w:b/>
          <w:sz w:val="24"/>
          <w:szCs w:val="24"/>
          <w:vertAlign w:val="superscript"/>
        </w:rPr>
        <w:t>2</w:t>
      </w:r>
      <w:r w:rsidRPr="009D487D">
        <w:rPr>
          <w:rFonts w:ascii="Garamond" w:eastAsia="Arial" w:hAnsi="Garamond" w:cs="Arial"/>
          <w:b/>
          <w:sz w:val="24"/>
          <w:szCs w:val="24"/>
        </w:rPr>
        <w:t xml:space="preserve">STMIK </w:t>
      </w:r>
      <w:proofErr w:type="spellStart"/>
      <w:r w:rsidRPr="009D487D">
        <w:rPr>
          <w:rFonts w:ascii="Garamond" w:eastAsia="Arial" w:hAnsi="Garamond" w:cs="Arial"/>
          <w:b/>
          <w:sz w:val="24"/>
          <w:szCs w:val="24"/>
        </w:rPr>
        <w:t>Mercusuar</w:t>
      </w:r>
      <w:proofErr w:type="spellEnd"/>
      <w:r w:rsidRPr="009D487D">
        <w:rPr>
          <w:rFonts w:ascii="Garamond" w:eastAsia="Arial" w:hAnsi="Garamond" w:cs="Arial"/>
          <w:b/>
          <w:sz w:val="24"/>
          <w:szCs w:val="24"/>
        </w:rPr>
        <w:t>,</w:t>
      </w:r>
      <w:r w:rsidR="009D487D">
        <w:rPr>
          <w:rFonts w:ascii="Garamond" w:eastAsia="Arial" w:hAnsi="Garamond" w:cs="Arial"/>
          <w:b/>
          <w:sz w:val="24"/>
          <w:szCs w:val="24"/>
        </w:rPr>
        <w:t xml:space="preserve"> </w:t>
      </w:r>
      <w:r w:rsidRPr="009D487D">
        <w:rPr>
          <w:rFonts w:ascii="Garamond" w:eastAsia="Arial" w:hAnsi="Garamond" w:cs="Arial"/>
          <w:b/>
          <w:sz w:val="24"/>
          <w:szCs w:val="24"/>
        </w:rPr>
        <w:t>Indonesia</w:t>
      </w:r>
    </w:p>
    <w:p w14:paraId="23431387" w14:textId="3D38C07C" w:rsidR="007D48B1" w:rsidRPr="009D487D" w:rsidRDefault="007D48B1" w:rsidP="009D487D">
      <w:pPr>
        <w:spacing w:after="0"/>
        <w:jc w:val="center"/>
        <w:rPr>
          <w:rFonts w:ascii="Garamond" w:eastAsia="Arial" w:hAnsi="Garamond" w:cs="Arial"/>
          <w:b/>
          <w:sz w:val="24"/>
          <w:szCs w:val="24"/>
        </w:rPr>
      </w:pPr>
      <w:r w:rsidRPr="007D48B1">
        <w:rPr>
          <w:rFonts w:ascii="Garamond" w:eastAsia="Arial" w:hAnsi="Garamond" w:cs="Arial"/>
          <w:b/>
          <w:sz w:val="24"/>
          <w:szCs w:val="24"/>
          <w:vertAlign w:val="superscript"/>
        </w:rPr>
        <w:t>3</w:t>
      </w:r>
      <w:r>
        <w:rPr>
          <w:rFonts w:ascii="Garamond" w:eastAsia="Arial" w:hAnsi="Garamond" w:cs="Arial"/>
          <w:b/>
          <w:sz w:val="24"/>
          <w:szCs w:val="24"/>
        </w:rPr>
        <w:t xml:space="preserve">Universitas </w:t>
      </w:r>
      <w:proofErr w:type="spellStart"/>
      <w:r>
        <w:rPr>
          <w:rFonts w:ascii="Garamond" w:eastAsia="Arial" w:hAnsi="Garamond" w:cs="Arial"/>
          <w:b/>
          <w:sz w:val="24"/>
          <w:szCs w:val="24"/>
        </w:rPr>
        <w:t>Jayabaya</w:t>
      </w:r>
      <w:proofErr w:type="spellEnd"/>
      <w:r>
        <w:rPr>
          <w:rFonts w:ascii="Garamond" w:eastAsia="Arial" w:hAnsi="Garamond" w:cs="Arial"/>
          <w:b/>
          <w:sz w:val="24"/>
          <w:szCs w:val="24"/>
        </w:rPr>
        <w:t>, Indonesia</w:t>
      </w:r>
    </w:p>
    <w:p w14:paraId="0D2EB9D9" w14:textId="0E735305" w:rsidR="00EF00A5" w:rsidRPr="009D487D" w:rsidRDefault="00000000" w:rsidP="009D487D">
      <w:pPr>
        <w:spacing w:after="0"/>
        <w:jc w:val="center"/>
        <w:rPr>
          <w:rFonts w:ascii="Garamond" w:eastAsia="Arial" w:hAnsi="Garamond" w:cs="Arial"/>
          <w:bCs/>
          <w:sz w:val="24"/>
          <w:szCs w:val="24"/>
        </w:rPr>
      </w:pPr>
      <w:proofErr w:type="gramStart"/>
      <w:r w:rsidRPr="009D487D">
        <w:rPr>
          <w:rFonts w:ascii="Garamond" w:eastAsia="Arial" w:hAnsi="Garamond" w:cs="Arial"/>
          <w:bCs/>
          <w:sz w:val="24"/>
          <w:szCs w:val="24"/>
        </w:rPr>
        <w:t>Correspondent :</w:t>
      </w:r>
      <w:proofErr w:type="gramEnd"/>
      <w:r w:rsidRPr="009D487D">
        <w:rPr>
          <w:rFonts w:ascii="Garamond" w:eastAsia="Arial" w:hAnsi="Garamond" w:cs="Arial"/>
          <w:bCs/>
          <w:sz w:val="24"/>
          <w:szCs w:val="24"/>
        </w:rPr>
        <w:t xml:space="preserve"> </w:t>
      </w:r>
      <w:hyperlink r:id="rId8" w:history="1">
        <w:r w:rsidR="009D487D" w:rsidRPr="009D487D">
          <w:rPr>
            <w:rStyle w:val="Hyperlink"/>
            <w:rFonts w:ascii="Garamond" w:eastAsia="Arial" w:hAnsi="Garamond" w:cs="Arial"/>
            <w:bCs/>
            <w:sz w:val="24"/>
            <w:szCs w:val="24"/>
          </w:rPr>
          <w:t>sunarno@gmail.com</w:t>
        </w:r>
        <w:r w:rsidR="009D487D" w:rsidRPr="009D487D">
          <w:rPr>
            <w:rStyle w:val="Hyperlink"/>
            <w:rFonts w:ascii="Garamond" w:eastAsia="Arial" w:hAnsi="Garamond" w:cs="Arial"/>
            <w:bCs/>
            <w:sz w:val="24"/>
            <w:szCs w:val="24"/>
            <w:vertAlign w:val="superscript"/>
          </w:rPr>
          <w:t>1</w:t>
        </w:r>
      </w:hyperlink>
    </w:p>
    <w:p w14:paraId="77734630" w14:textId="77777777" w:rsidR="009D487D" w:rsidRPr="009D487D" w:rsidRDefault="009D487D" w:rsidP="009D487D">
      <w:pPr>
        <w:spacing w:after="0"/>
        <w:jc w:val="center"/>
        <w:rPr>
          <w:rFonts w:ascii="Garamond" w:eastAsia="Garamond" w:hAnsi="Garamond" w:cs="Garamond"/>
          <w:b/>
          <w:sz w:val="24"/>
          <w:szCs w:val="24"/>
        </w:rPr>
      </w:pPr>
    </w:p>
    <w:tbl>
      <w:tblPr>
        <w:tblStyle w:val="a"/>
        <w:tblW w:w="9214" w:type="dxa"/>
        <w:tblBorders>
          <w:top w:val="single" w:sz="4" w:space="0" w:color="7F7F7F"/>
          <w:bottom w:val="single" w:sz="4" w:space="0" w:color="7F7F7F"/>
        </w:tblBorders>
        <w:tblLayout w:type="fixed"/>
        <w:tblLook w:val="04A0" w:firstRow="1" w:lastRow="0" w:firstColumn="1" w:lastColumn="0" w:noHBand="0" w:noVBand="1"/>
      </w:tblPr>
      <w:tblGrid>
        <w:gridCol w:w="3828"/>
        <w:gridCol w:w="5386"/>
      </w:tblGrid>
      <w:tr w:rsidR="00EF00A5" w14:paraId="39CC5A5D" w14:textId="77777777" w:rsidTr="009D48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Borders>
              <w:right w:val="single" w:sz="4" w:space="0" w:color="auto"/>
            </w:tcBorders>
          </w:tcPr>
          <w:p w14:paraId="4A222A18" w14:textId="349BD6DD" w:rsidR="009D487D" w:rsidRPr="00250C0C" w:rsidRDefault="009D487D" w:rsidP="009D487D">
            <w:pPr>
              <w:pStyle w:val="Heading1"/>
              <w:tabs>
                <w:tab w:val="left" w:pos="1029"/>
                <w:tab w:val="left" w:pos="5025"/>
              </w:tabs>
              <w:spacing w:before="120"/>
              <w:rPr>
                <w:rFonts w:ascii="Garamond" w:eastAsia="Garamond" w:hAnsi="Garamond" w:cs="Garamond"/>
                <w:color w:val="000000"/>
                <w:sz w:val="20"/>
                <w:szCs w:val="20"/>
              </w:rPr>
            </w:pPr>
            <w:bookmarkStart w:id="0" w:name="_heading=h.tln86a2zzq01" w:colFirst="0" w:colLast="0"/>
            <w:bookmarkEnd w:id="0"/>
            <w:r w:rsidRPr="00250C0C">
              <w:rPr>
                <w:rFonts w:ascii="Garamond" w:eastAsia="Garamond" w:hAnsi="Garamond" w:cs="Garamond"/>
                <w:b w:val="0"/>
                <w:color w:val="000000"/>
                <w:sz w:val="20"/>
                <w:szCs w:val="20"/>
              </w:rPr>
              <w:t>Received</w:t>
            </w:r>
            <w:r w:rsidRPr="00250C0C">
              <w:rPr>
                <w:rFonts w:ascii="Garamond" w:eastAsia="Garamond" w:hAnsi="Garamond" w:cs="Garamond"/>
                <w:b w:val="0"/>
                <w:color w:val="000000"/>
                <w:sz w:val="20"/>
                <w:szCs w:val="20"/>
              </w:rPr>
              <w:tab/>
              <w:t xml:space="preserve">: </w:t>
            </w:r>
            <w:r>
              <w:rPr>
                <w:rFonts w:ascii="Garamond" w:eastAsia="Garamond" w:hAnsi="Garamond" w:cs="Garamond"/>
                <w:b w:val="0"/>
                <w:color w:val="000000"/>
                <w:sz w:val="20"/>
                <w:szCs w:val="20"/>
              </w:rPr>
              <w:t>June 5</w:t>
            </w:r>
            <w:r w:rsidRPr="00250C0C">
              <w:rPr>
                <w:rFonts w:ascii="Garamond" w:eastAsia="Garamond" w:hAnsi="Garamond" w:cs="Garamond"/>
                <w:b w:val="0"/>
                <w:color w:val="000000"/>
                <w:sz w:val="20"/>
                <w:szCs w:val="20"/>
              </w:rPr>
              <w:t>, 202</w:t>
            </w:r>
            <w:r>
              <w:rPr>
                <w:rFonts w:ascii="Garamond" w:eastAsia="Garamond" w:hAnsi="Garamond" w:cs="Garamond"/>
                <w:b w:val="0"/>
                <w:color w:val="000000"/>
                <w:sz w:val="20"/>
                <w:szCs w:val="20"/>
              </w:rPr>
              <w:t>4</w:t>
            </w:r>
          </w:p>
          <w:p w14:paraId="1BB5AF77" w14:textId="4469AB71" w:rsidR="009D487D" w:rsidRPr="00250C0C" w:rsidRDefault="009D487D" w:rsidP="009D487D">
            <w:pPr>
              <w:pStyle w:val="Heading1"/>
              <w:tabs>
                <w:tab w:val="left" w:pos="1029"/>
                <w:tab w:val="left" w:pos="5025"/>
              </w:tabs>
              <w:spacing w:before="120"/>
              <w:rPr>
                <w:rFonts w:ascii="Garamond" w:eastAsia="Garamond" w:hAnsi="Garamond" w:cs="Garamond"/>
                <w:color w:val="000000"/>
                <w:sz w:val="20"/>
                <w:szCs w:val="20"/>
              </w:rPr>
            </w:pPr>
            <w:r w:rsidRPr="00250C0C">
              <w:rPr>
                <w:rFonts w:ascii="Garamond" w:eastAsia="Garamond" w:hAnsi="Garamond" w:cs="Garamond"/>
                <w:b w:val="0"/>
                <w:color w:val="000000"/>
                <w:sz w:val="20"/>
                <w:szCs w:val="20"/>
              </w:rPr>
              <w:t>Accepted</w:t>
            </w:r>
            <w:r w:rsidRPr="00250C0C">
              <w:rPr>
                <w:rFonts w:ascii="Garamond" w:eastAsia="Garamond" w:hAnsi="Garamond" w:cs="Garamond"/>
                <w:b w:val="0"/>
                <w:color w:val="000000"/>
                <w:sz w:val="20"/>
                <w:szCs w:val="20"/>
              </w:rPr>
              <w:tab/>
              <w:t xml:space="preserve">: </w:t>
            </w:r>
            <w:r>
              <w:rPr>
                <w:rFonts w:ascii="Garamond" w:eastAsia="Garamond" w:hAnsi="Garamond" w:cs="Garamond"/>
                <w:b w:val="0"/>
                <w:color w:val="000000"/>
                <w:sz w:val="20"/>
                <w:szCs w:val="20"/>
              </w:rPr>
              <w:t>July 21</w:t>
            </w:r>
            <w:r w:rsidRPr="00250C0C">
              <w:rPr>
                <w:rFonts w:ascii="Garamond" w:eastAsia="Garamond" w:hAnsi="Garamond" w:cs="Garamond"/>
                <w:b w:val="0"/>
                <w:color w:val="000000"/>
                <w:sz w:val="20"/>
                <w:szCs w:val="20"/>
              </w:rPr>
              <w:t>, 202</w:t>
            </w:r>
            <w:r>
              <w:rPr>
                <w:rFonts w:ascii="Garamond" w:eastAsia="Garamond" w:hAnsi="Garamond" w:cs="Garamond"/>
                <w:b w:val="0"/>
                <w:color w:val="000000"/>
                <w:sz w:val="20"/>
                <w:szCs w:val="20"/>
              </w:rPr>
              <w:t>4</w:t>
            </w:r>
          </w:p>
          <w:p w14:paraId="24192C6B" w14:textId="77777777" w:rsidR="009D487D" w:rsidRPr="00250C0C" w:rsidRDefault="009D487D" w:rsidP="009D487D">
            <w:pPr>
              <w:pStyle w:val="Heading1"/>
              <w:tabs>
                <w:tab w:val="left" w:pos="1029"/>
                <w:tab w:val="left" w:pos="5025"/>
              </w:tabs>
              <w:spacing w:before="120"/>
              <w:rPr>
                <w:rFonts w:ascii="Garamond" w:eastAsia="Garamond" w:hAnsi="Garamond" w:cs="Garamond"/>
                <w:color w:val="000000"/>
                <w:sz w:val="20"/>
                <w:szCs w:val="20"/>
              </w:rPr>
            </w:pPr>
            <w:r w:rsidRPr="00250C0C">
              <w:rPr>
                <w:rFonts w:ascii="Garamond" w:eastAsia="Garamond" w:hAnsi="Garamond" w:cs="Garamond"/>
                <w:b w:val="0"/>
                <w:color w:val="000000"/>
                <w:sz w:val="20"/>
                <w:szCs w:val="20"/>
              </w:rPr>
              <w:t>Published</w:t>
            </w:r>
            <w:r w:rsidRPr="00250C0C">
              <w:rPr>
                <w:rFonts w:ascii="Garamond" w:eastAsia="Garamond" w:hAnsi="Garamond" w:cs="Garamond"/>
                <w:b w:val="0"/>
                <w:color w:val="000000"/>
                <w:sz w:val="20"/>
                <w:szCs w:val="20"/>
              </w:rPr>
              <w:tab/>
              <w:t xml:space="preserve">: </w:t>
            </w:r>
            <w:r>
              <w:rPr>
                <w:rFonts w:ascii="Garamond" w:eastAsia="Garamond" w:hAnsi="Garamond" w:cs="Garamond"/>
                <w:b w:val="0"/>
                <w:color w:val="000000"/>
                <w:sz w:val="20"/>
                <w:szCs w:val="20"/>
              </w:rPr>
              <w:t>July 31</w:t>
            </w:r>
            <w:r w:rsidRPr="00250C0C">
              <w:rPr>
                <w:rFonts w:ascii="Garamond" w:eastAsia="Garamond" w:hAnsi="Garamond" w:cs="Garamond"/>
                <w:b w:val="0"/>
                <w:color w:val="000000"/>
                <w:sz w:val="20"/>
                <w:szCs w:val="20"/>
              </w:rPr>
              <w:t>, 202</w:t>
            </w:r>
            <w:r>
              <w:rPr>
                <w:rFonts w:ascii="Garamond" w:eastAsia="Garamond" w:hAnsi="Garamond" w:cs="Garamond"/>
                <w:b w:val="0"/>
                <w:color w:val="000000"/>
                <w:sz w:val="20"/>
                <w:szCs w:val="20"/>
              </w:rPr>
              <w:t>4</w:t>
            </w:r>
          </w:p>
          <w:p w14:paraId="74C9C395" w14:textId="77777777" w:rsidR="009D487D" w:rsidRPr="00250C0C" w:rsidRDefault="009D487D" w:rsidP="009D487D">
            <w:pPr>
              <w:pStyle w:val="Heading1"/>
              <w:tabs>
                <w:tab w:val="left" w:pos="5025"/>
              </w:tabs>
              <w:spacing w:before="120"/>
              <w:rPr>
                <w:rFonts w:ascii="Garamond" w:eastAsia="Garamond" w:hAnsi="Garamond" w:cs="Garamond"/>
                <w:color w:val="000000"/>
                <w:sz w:val="20"/>
                <w:szCs w:val="20"/>
              </w:rPr>
            </w:pPr>
          </w:p>
          <w:p w14:paraId="7B612C9A" w14:textId="77777777" w:rsidR="009D487D" w:rsidRPr="00250C0C" w:rsidRDefault="009D487D" w:rsidP="009D487D">
            <w:pPr>
              <w:rPr>
                <w:rFonts w:ascii="Garamond" w:eastAsia="Garamond" w:hAnsi="Garamond" w:cs="Garamond"/>
              </w:rPr>
            </w:pPr>
          </w:p>
          <w:p w14:paraId="59F90B5A" w14:textId="77777777" w:rsidR="009D487D" w:rsidRPr="00250C0C" w:rsidRDefault="009D487D" w:rsidP="009D487D">
            <w:pPr>
              <w:rPr>
                <w:rFonts w:ascii="Garamond" w:eastAsia="Garamond" w:hAnsi="Garamond" w:cs="Garamond"/>
              </w:rPr>
            </w:pPr>
          </w:p>
          <w:p w14:paraId="2D82AB1C" w14:textId="3F54E5D3" w:rsidR="00EF00A5" w:rsidRDefault="009D487D" w:rsidP="009D487D">
            <w:pPr>
              <w:pStyle w:val="Heading1"/>
              <w:tabs>
                <w:tab w:val="left" w:pos="5025"/>
              </w:tabs>
              <w:spacing w:before="120"/>
              <w:jc w:val="both"/>
              <w:rPr>
                <w:rFonts w:ascii="Garamond" w:eastAsia="Garamond" w:hAnsi="Garamond" w:cs="Garamond"/>
                <w:color w:val="000000"/>
                <w:sz w:val="20"/>
                <w:szCs w:val="20"/>
              </w:rPr>
            </w:pPr>
            <w:r w:rsidRPr="00250C0C">
              <w:rPr>
                <w:rFonts w:ascii="Garamond" w:eastAsia="Garamond" w:hAnsi="Garamond" w:cs="Garamond"/>
                <w:b w:val="0"/>
                <w:color w:val="000000"/>
                <w:sz w:val="20"/>
                <w:szCs w:val="20"/>
              </w:rPr>
              <w:t xml:space="preserve">Citation: </w:t>
            </w:r>
            <w:proofErr w:type="spellStart"/>
            <w:r>
              <w:rPr>
                <w:rFonts w:ascii="Garamond" w:eastAsia="Garamond" w:hAnsi="Garamond" w:cs="Garamond"/>
                <w:b w:val="0"/>
                <w:color w:val="000000"/>
                <w:sz w:val="20"/>
                <w:szCs w:val="20"/>
              </w:rPr>
              <w:t>Sunarno</w:t>
            </w:r>
            <w:proofErr w:type="spellEnd"/>
            <w:r>
              <w:rPr>
                <w:rFonts w:ascii="Garamond" w:eastAsia="Garamond" w:hAnsi="Garamond" w:cs="Garamond"/>
                <w:b w:val="0"/>
                <w:color w:val="000000"/>
                <w:sz w:val="20"/>
                <w:szCs w:val="20"/>
              </w:rPr>
              <w:t xml:space="preserve">., </w:t>
            </w:r>
            <w:proofErr w:type="spellStart"/>
            <w:r>
              <w:rPr>
                <w:rFonts w:ascii="Garamond" w:eastAsia="Garamond" w:hAnsi="Garamond" w:cs="Garamond"/>
                <w:b w:val="0"/>
                <w:color w:val="000000"/>
                <w:sz w:val="20"/>
                <w:szCs w:val="20"/>
              </w:rPr>
              <w:t>Diantoro</w:t>
            </w:r>
            <w:proofErr w:type="spellEnd"/>
            <w:r>
              <w:rPr>
                <w:rFonts w:ascii="Garamond" w:eastAsia="Garamond" w:hAnsi="Garamond" w:cs="Garamond"/>
                <w:b w:val="0"/>
                <w:color w:val="000000"/>
                <w:sz w:val="20"/>
                <w:szCs w:val="20"/>
              </w:rPr>
              <w:t xml:space="preserve">, K., </w:t>
            </w:r>
            <w:proofErr w:type="spellStart"/>
            <w:r>
              <w:rPr>
                <w:rFonts w:ascii="Garamond" w:eastAsia="Garamond" w:hAnsi="Garamond" w:cs="Garamond"/>
                <w:b w:val="0"/>
                <w:color w:val="000000"/>
                <w:sz w:val="20"/>
                <w:szCs w:val="20"/>
              </w:rPr>
              <w:t>Marthalia</w:t>
            </w:r>
            <w:proofErr w:type="spellEnd"/>
            <w:r>
              <w:rPr>
                <w:rFonts w:ascii="Garamond" w:eastAsia="Garamond" w:hAnsi="Garamond" w:cs="Garamond"/>
                <w:b w:val="0"/>
                <w:color w:val="000000"/>
                <w:sz w:val="20"/>
                <w:szCs w:val="20"/>
              </w:rPr>
              <w:t xml:space="preserve">, L. </w:t>
            </w:r>
            <w:r w:rsidRPr="00250C0C">
              <w:rPr>
                <w:rFonts w:ascii="Garamond" w:eastAsia="Garamond" w:hAnsi="Garamond" w:cs="Garamond"/>
                <w:b w:val="0"/>
                <w:color w:val="000000"/>
                <w:sz w:val="20"/>
                <w:szCs w:val="20"/>
              </w:rPr>
              <w:t>(202</w:t>
            </w:r>
            <w:r>
              <w:rPr>
                <w:rFonts w:ascii="Garamond" w:eastAsia="Garamond" w:hAnsi="Garamond" w:cs="Garamond"/>
                <w:b w:val="0"/>
                <w:color w:val="000000"/>
                <w:sz w:val="20"/>
                <w:szCs w:val="20"/>
              </w:rPr>
              <w:t>4</w:t>
            </w:r>
            <w:r w:rsidRPr="00250C0C">
              <w:rPr>
                <w:rFonts w:ascii="Garamond" w:eastAsia="Garamond" w:hAnsi="Garamond" w:cs="Garamond"/>
                <w:b w:val="0"/>
                <w:color w:val="000000"/>
                <w:sz w:val="20"/>
                <w:szCs w:val="20"/>
              </w:rPr>
              <w:t xml:space="preserve">). </w:t>
            </w:r>
            <w:r w:rsidRPr="009D487D">
              <w:rPr>
                <w:rFonts w:ascii="Garamond" w:eastAsia="Garamond" w:hAnsi="Garamond" w:cs="Garamond"/>
                <w:b w:val="0"/>
                <w:color w:val="000000"/>
                <w:sz w:val="20"/>
                <w:szCs w:val="20"/>
              </w:rPr>
              <w:t>Digital–Green Synergies in Practice: How Emerging and Developed Markets Integrate Technology for Sustainable Value Creation</w:t>
            </w:r>
            <w:r>
              <w:rPr>
                <w:rFonts w:ascii="Garamond" w:eastAsia="Garamond" w:hAnsi="Garamond" w:cs="Garamond"/>
                <w:b w:val="0"/>
                <w:color w:val="000000"/>
                <w:sz w:val="20"/>
                <w:szCs w:val="20"/>
              </w:rPr>
              <w:t xml:space="preserve">. </w:t>
            </w:r>
            <w:proofErr w:type="spellStart"/>
            <w:r w:rsidRPr="00250C0C">
              <w:rPr>
                <w:rFonts w:ascii="Garamond" w:eastAsia="Garamond" w:hAnsi="Garamond" w:cs="Garamond"/>
                <w:b w:val="0"/>
                <w:color w:val="000000"/>
                <w:sz w:val="20"/>
                <w:szCs w:val="20"/>
              </w:rPr>
              <w:t>Novatio</w:t>
            </w:r>
            <w:proofErr w:type="spellEnd"/>
            <w:r w:rsidRPr="00250C0C">
              <w:rPr>
                <w:rFonts w:ascii="Garamond" w:eastAsia="Garamond" w:hAnsi="Garamond" w:cs="Garamond"/>
                <w:b w:val="0"/>
                <w:color w:val="000000"/>
                <w:sz w:val="20"/>
                <w:szCs w:val="20"/>
              </w:rPr>
              <w:t>: Journal of Management Technology and Innovation, </w:t>
            </w:r>
            <w:r>
              <w:rPr>
                <w:rFonts w:ascii="Garamond" w:eastAsia="Garamond" w:hAnsi="Garamond" w:cs="Garamond"/>
                <w:b w:val="0"/>
                <w:color w:val="000000"/>
                <w:sz w:val="20"/>
                <w:szCs w:val="20"/>
              </w:rPr>
              <w:t>2</w:t>
            </w:r>
            <w:r w:rsidRPr="00250C0C">
              <w:rPr>
                <w:rFonts w:ascii="Garamond" w:eastAsia="Garamond" w:hAnsi="Garamond" w:cs="Garamond"/>
                <w:b w:val="0"/>
                <w:color w:val="000000"/>
                <w:sz w:val="20"/>
                <w:szCs w:val="20"/>
              </w:rPr>
              <w:t>(</w:t>
            </w:r>
            <w:r>
              <w:rPr>
                <w:rFonts w:ascii="Garamond" w:eastAsia="Garamond" w:hAnsi="Garamond" w:cs="Garamond"/>
                <w:b w:val="0"/>
                <w:color w:val="000000"/>
                <w:sz w:val="20"/>
                <w:szCs w:val="20"/>
              </w:rPr>
              <w:t>3</w:t>
            </w:r>
            <w:r w:rsidRPr="00250C0C">
              <w:rPr>
                <w:rFonts w:ascii="Garamond" w:eastAsia="Garamond" w:hAnsi="Garamond" w:cs="Garamond"/>
                <w:b w:val="0"/>
                <w:color w:val="000000"/>
                <w:sz w:val="20"/>
                <w:szCs w:val="20"/>
              </w:rPr>
              <w:t>),</w:t>
            </w:r>
            <w:r>
              <w:rPr>
                <w:rFonts w:ascii="Garamond" w:eastAsia="Garamond" w:hAnsi="Garamond" w:cs="Garamond"/>
                <w:b w:val="0"/>
                <w:color w:val="000000"/>
                <w:sz w:val="20"/>
                <w:szCs w:val="20"/>
              </w:rPr>
              <w:t xml:space="preserve"> 205-215</w:t>
            </w:r>
            <w:r w:rsidRPr="00250C0C">
              <w:rPr>
                <w:rFonts w:ascii="Garamond" w:eastAsia="Garamond" w:hAnsi="Garamond" w:cs="Garamond"/>
                <w:b w:val="0"/>
                <w:color w:val="000000"/>
                <w:sz w:val="20"/>
                <w:szCs w:val="20"/>
              </w:rPr>
              <w:t>.</w:t>
            </w:r>
            <w:r>
              <w:rPr>
                <w:rFonts w:ascii="Garamond" w:eastAsia="Garamond" w:hAnsi="Garamond" w:cs="Garamond"/>
                <w:b w:val="0"/>
                <w:color w:val="000000"/>
                <w:sz w:val="20"/>
                <w:szCs w:val="20"/>
              </w:rPr>
              <w:t xml:space="preserve"> </w:t>
            </w:r>
          </w:p>
        </w:tc>
        <w:tc>
          <w:tcPr>
            <w:tcW w:w="5386" w:type="dxa"/>
            <w:tcBorders>
              <w:top w:val="single" w:sz="4" w:space="0" w:color="7F7F7F"/>
              <w:left w:val="single" w:sz="4" w:space="0" w:color="auto"/>
            </w:tcBorders>
          </w:tcPr>
          <w:p w14:paraId="08EB0D58" w14:textId="77777777" w:rsidR="00EF00A5" w:rsidRDefault="00000000">
            <w:pPr>
              <w:pStyle w:val="Heading1"/>
              <w:tabs>
                <w:tab w:val="left" w:pos="5025"/>
              </w:tabs>
              <w:spacing w:before="120"/>
              <w:jc w:val="both"/>
              <w:cnfStyle w:val="100000000000" w:firstRow="1" w:lastRow="0" w:firstColumn="0" w:lastColumn="0" w:oddVBand="0" w:evenVBand="0" w:oddHBand="0" w:evenHBand="0" w:firstRowFirstColumn="0" w:firstRowLastColumn="0" w:lastRowFirstColumn="0" w:lastRowLastColumn="0"/>
              <w:rPr>
                <w:rFonts w:ascii="Garamond" w:eastAsia="Garamond" w:hAnsi="Garamond" w:cs="Garamond"/>
                <w:color w:val="000000"/>
                <w:sz w:val="22"/>
                <w:szCs w:val="22"/>
                <w:highlight w:val="white"/>
              </w:rPr>
            </w:pPr>
            <w:r>
              <w:rPr>
                <w:rFonts w:ascii="Garamond" w:eastAsia="Garamond" w:hAnsi="Garamond" w:cs="Garamond"/>
                <w:color w:val="000000"/>
                <w:sz w:val="22"/>
                <w:szCs w:val="22"/>
              </w:rPr>
              <w:t>ABSTRACT:</w:t>
            </w:r>
            <w:r>
              <w:rPr>
                <w:rFonts w:ascii="Garamond" w:eastAsia="Garamond" w:hAnsi="Garamond" w:cs="Garamond"/>
                <w:b w:val="0"/>
                <w:color w:val="000000"/>
                <w:sz w:val="22"/>
                <w:szCs w:val="22"/>
                <w:highlight w:val="white"/>
              </w:rPr>
              <w:t xml:space="preserve"> This study examines how digital transformation and green technology adoption jointly influence corporate sustainability. Using frameworks such as the Resource-Based View and dynamic capabilities theory, the research synthesizes empirical evidence to evaluate ESG outcomes, emissions reductions, and operational efficiency. Findings show that digital tools like AI, IoT, and big data significantly enhance the effectiveness of green practices, leading to improved ESG scores, lower emissions, and stronger supply chain resilience. The study concludes that aligning digital and green strategies enables firms to meet stakeholder demands and global sustainability goals while maintaining competitiveness. </w:t>
            </w:r>
          </w:p>
          <w:p w14:paraId="3C6B96FA" w14:textId="77777777" w:rsidR="00EF00A5" w:rsidRDefault="00EF00A5">
            <w:pPr>
              <w:cnfStyle w:val="100000000000" w:firstRow="1" w:lastRow="0" w:firstColumn="0" w:lastColumn="0" w:oddVBand="0" w:evenVBand="0" w:oddHBand="0" w:evenHBand="0" w:firstRowFirstColumn="0" w:firstRowLastColumn="0" w:lastRowFirstColumn="0" w:lastRowLastColumn="0"/>
              <w:rPr>
                <w:rFonts w:ascii="Garamond" w:eastAsia="Garamond" w:hAnsi="Garamond" w:cs="Garamond"/>
              </w:rPr>
            </w:pPr>
          </w:p>
          <w:p w14:paraId="068BBC88" w14:textId="05FAFE74" w:rsidR="00EF00A5" w:rsidRDefault="00000000">
            <w:pPr>
              <w:jc w:val="both"/>
              <w:cnfStyle w:val="100000000000" w:firstRow="1" w:lastRow="0" w:firstColumn="0" w:lastColumn="0" w:oddVBand="0" w:evenVBand="0" w:oddHBand="0" w:evenHBand="0" w:firstRowFirstColumn="0" w:firstRowLastColumn="0" w:lastRowFirstColumn="0" w:lastRowLastColumn="0"/>
              <w:rPr>
                <w:rFonts w:ascii="Garamond" w:eastAsia="Garamond" w:hAnsi="Garamond" w:cs="Garamond"/>
              </w:rPr>
            </w:pPr>
            <w:r>
              <w:rPr>
                <w:rFonts w:ascii="Garamond" w:eastAsia="Garamond" w:hAnsi="Garamond" w:cs="Garamond"/>
              </w:rPr>
              <w:t xml:space="preserve">Keywords: </w:t>
            </w:r>
            <w:r>
              <w:rPr>
                <w:rFonts w:ascii="Garamond" w:eastAsia="Garamond" w:hAnsi="Garamond" w:cs="Garamond"/>
                <w:b w:val="0"/>
              </w:rPr>
              <w:t>Digital Transformation</w:t>
            </w:r>
            <w:r w:rsidR="009D487D">
              <w:rPr>
                <w:rFonts w:ascii="Garamond" w:eastAsia="Garamond" w:hAnsi="Garamond" w:cs="Garamond"/>
                <w:b w:val="0"/>
              </w:rPr>
              <w:t>,</w:t>
            </w:r>
            <w:r>
              <w:rPr>
                <w:rFonts w:ascii="Garamond" w:eastAsia="Garamond" w:hAnsi="Garamond" w:cs="Garamond"/>
                <w:b w:val="0"/>
              </w:rPr>
              <w:t xml:space="preserve"> Green Technology Adoption</w:t>
            </w:r>
            <w:r w:rsidR="009D487D">
              <w:rPr>
                <w:rFonts w:ascii="Garamond" w:eastAsia="Garamond" w:hAnsi="Garamond" w:cs="Garamond"/>
                <w:b w:val="0"/>
              </w:rPr>
              <w:t>,</w:t>
            </w:r>
            <w:r>
              <w:rPr>
                <w:rFonts w:ascii="Garamond" w:eastAsia="Garamond" w:hAnsi="Garamond" w:cs="Garamond"/>
                <w:b w:val="0"/>
              </w:rPr>
              <w:t xml:space="preserve"> Corporate Sustainability</w:t>
            </w:r>
            <w:r w:rsidR="009D487D">
              <w:rPr>
                <w:rFonts w:ascii="Garamond" w:eastAsia="Garamond" w:hAnsi="Garamond" w:cs="Garamond"/>
                <w:b w:val="0"/>
              </w:rPr>
              <w:t>,</w:t>
            </w:r>
            <w:r>
              <w:rPr>
                <w:rFonts w:ascii="Garamond" w:eastAsia="Garamond" w:hAnsi="Garamond" w:cs="Garamond"/>
                <w:b w:val="0"/>
              </w:rPr>
              <w:t xml:space="preserve"> ESG Performance</w:t>
            </w:r>
            <w:r w:rsidR="009D487D">
              <w:rPr>
                <w:rFonts w:ascii="Garamond" w:eastAsia="Garamond" w:hAnsi="Garamond" w:cs="Garamond"/>
                <w:b w:val="0"/>
              </w:rPr>
              <w:t>,</w:t>
            </w:r>
            <w:r>
              <w:rPr>
                <w:rFonts w:ascii="Garamond" w:eastAsia="Garamond" w:hAnsi="Garamond" w:cs="Garamond"/>
                <w:b w:val="0"/>
              </w:rPr>
              <w:t xml:space="preserve"> Industry 4.0</w:t>
            </w:r>
            <w:r w:rsidR="009D487D">
              <w:rPr>
                <w:rFonts w:ascii="Garamond" w:eastAsia="Garamond" w:hAnsi="Garamond" w:cs="Garamond"/>
                <w:b w:val="0"/>
              </w:rPr>
              <w:t>,</w:t>
            </w:r>
            <w:r>
              <w:rPr>
                <w:rFonts w:ascii="Garamond" w:eastAsia="Garamond" w:hAnsi="Garamond" w:cs="Garamond"/>
                <w:b w:val="0"/>
              </w:rPr>
              <w:t xml:space="preserve"> Emerging Markets</w:t>
            </w:r>
            <w:r w:rsidR="009D487D">
              <w:rPr>
                <w:rFonts w:ascii="Garamond" w:eastAsia="Garamond" w:hAnsi="Garamond" w:cs="Garamond"/>
                <w:b w:val="0"/>
              </w:rPr>
              <w:t>,</w:t>
            </w:r>
            <w:r>
              <w:rPr>
                <w:rFonts w:ascii="Garamond" w:eastAsia="Garamond" w:hAnsi="Garamond" w:cs="Garamond"/>
                <w:b w:val="0"/>
              </w:rPr>
              <w:t xml:space="preserve"> Policy Frameworks.</w:t>
            </w:r>
          </w:p>
        </w:tc>
      </w:tr>
      <w:tr w:rsidR="00EF00A5" w14:paraId="07C6E3D9" w14:textId="77777777" w:rsidTr="00EF00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Borders>
              <w:right w:val="single" w:sz="4" w:space="0" w:color="000000"/>
            </w:tcBorders>
          </w:tcPr>
          <w:p w14:paraId="6FB37B06" w14:textId="77777777" w:rsidR="00EF00A5" w:rsidRDefault="00EF00A5">
            <w:pPr>
              <w:pStyle w:val="Heading1"/>
              <w:tabs>
                <w:tab w:val="left" w:pos="5025"/>
              </w:tabs>
              <w:spacing w:before="120" w:after="120"/>
              <w:jc w:val="both"/>
              <w:rPr>
                <w:rFonts w:ascii="Garamond" w:eastAsia="Garamond" w:hAnsi="Garamond" w:cs="Garamond"/>
                <w:color w:val="000000"/>
                <w:sz w:val="20"/>
                <w:szCs w:val="20"/>
              </w:rPr>
            </w:pPr>
          </w:p>
        </w:tc>
        <w:tc>
          <w:tcPr>
            <w:tcW w:w="5386" w:type="dxa"/>
            <w:tcBorders>
              <w:left w:val="single" w:sz="4" w:space="0" w:color="000000"/>
            </w:tcBorders>
          </w:tcPr>
          <w:p w14:paraId="53837BD5" w14:textId="77777777" w:rsidR="00EF00A5" w:rsidRDefault="00000000">
            <w:pPr>
              <w:pStyle w:val="Heading1"/>
              <w:tabs>
                <w:tab w:val="left" w:pos="5025"/>
              </w:tabs>
              <w:spacing w:before="0"/>
              <w:jc w:val="both"/>
              <w:cnfStyle w:val="000000100000" w:firstRow="0" w:lastRow="0" w:firstColumn="0" w:lastColumn="0" w:oddVBand="0" w:evenVBand="0" w:oddHBand="1" w:evenHBand="0" w:firstRowFirstColumn="0" w:firstRowLastColumn="0" w:lastRowFirstColumn="0" w:lastRowLastColumn="0"/>
              <w:rPr>
                <w:rFonts w:ascii="Garamond" w:eastAsia="Garamond" w:hAnsi="Garamond" w:cs="Garamond"/>
                <w:color w:val="000000"/>
                <w:sz w:val="22"/>
                <w:szCs w:val="22"/>
              </w:rPr>
            </w:pPr>
            <w:r>
              <w:rPr>
                <w:rFonts w:ascii="Garamond" w:eastAsia="Garamond" w:hAnsi="Garamond" w:cs="Garamond"/>
                <w:color w:val="000000"/>
                <w:sz w:val="22"/>
                <w:szCs w:val="22"/>
              </w:rPr>
              <w:t xml:space="preserve">This is an open access article under the </w:t>
            </w:r>
            <w:r>
              <w:rPr>
                <w:noProof/>
              </w:rPr>
              <w:drawing>
                <wp:anchor distT="0" distB="0" distL="114300" distR="114300" simplePos="0" relativeHeight="251658240" behindDoc="0" locked="0" layoutInCell="1" hidden="0" allowOverlap="1" wp14:anchorId="126FBD0C" wp14:editId="63B43D97">
                  <wp:simplePos x="0" y="0"/>
                  <wp:positionH relativeFrom="column">
                    <wp:posOffset>-3809</wp:posOffset>
                  </wp:positionH>
                  <wp:positionV relativeFrom="paragraph">
                    <wp:posOffset>21590</wp:posOffset>
                  </wp:positionV>
                  <wp:extent cx="723900" cy="286951"/>
                  <wp:effectExtent l="0" t="0" r="0" b="0"/>
                  <wp:wrapSquare wrapText="bothSides" distT="0" distB="0" distL="114300" distR="114300"/>
                  <wp:docPr id="21085894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723900" cy="286951"/>
                          </a:xfrm>
                          <a:prstGeom prst="rect">
                            <a:avLst/>
                          </a:prstGeom>
                          <a:ln/>
                        </pic:spPr>
                      </pic:pic>
                    </a:graphicData>
                  </a:graphic>
                </wp:anchor>
              </w:drawing>
            </w:r>
          </w:p>
          <w:p w14:paraId="76326E85" w14:textId="77777777" w:rsidR="00EF00A5" w:rsidRDefault="00000000">
            <w:pPr>
              <w:cnfStyle w:val="000000100000" w:firstRow="0" w:lastRow="0" w:firstColumn="0" w:lastColumn="0" w:oddVBand="0" w:evenVBand="0" w:oddHBand="1" w:evenHBand="0" w:firstRowFirstColumn="0" w:firstRowLastColumn="0" w:lastRowFirstColumn="0" w:lastRowLastColumn="0"/>
              <w:rPr>
                <w:rFonts w:ascii="Garamond" w:eastAsia="Garamond" w:hAnsi="Garamond" w:cs="Garamond"/>
              </w:rPr>
            </w:pPr>
            <w:r>
              <w:rPr>
                <w:rFonts w:ascii="Garamond" w:eastAsia="Garamond" w:hAnsi="Garamond" w:cs="Garamond"/>
              </w:rPr>
              <w:t>CC-BY 4.0 license</w:t>
            </w:r>
          </w:p>
        </w:tc>
      </w:tr>
    </w:tbl>
    <w:p w14:paraId="741FB54D" w14:textId="77777777" w:rsidR="00EF00A5" w:rsidRDefault="00EF00A5">
      <w:pPr>
        <w:pStyle w:val="Heading1"/>
        <w:tabs>
          <w:tab w:val="left" w:pos="5025"/>
        </w:tabs>
        <w:spacing w:before="0" w:after="120" w:line="276" w:lineRule="auto"/>
        <w:rPr>
          <w:rFonts w:ascii="Garamond" w:eastAsia="Garamond" w:hAnsi="Garamond" w:cs="Garamond"/>
          <w:b/>
          <w:color w:val="000000"/>
          <w:sz w:val="24"/>
          <w:szCs w:val="24"/>
        </w:rPr>
      </w:pPr>
    </w:p>
    <w:p w14:paraId="7F7B3105" w14:textId="77777777" w:rsidR="00EF00A5" w:rsidRDefault="00000000">
      <w:pPr>
        <w:pStyle w:val="Heading1"/>
        <w:spacing w:before="0" w:after="120" w:line="276" w:lineRule="auto"/>
        <w:rPr>
          <w:rFonts w:ascii="Garamond" w:eastAsia="Garamond" w:hAnsi="Garamond" w:cs="Garamond"/>
          <w:b/>
          <w:color w:val="000000"/>
          <w:sz w:val="24"/>
          <w:szCs w:val="24"/>
        </w:rPr>
      </w:pPr>
      <w:r>
        <w:rPr>
          <w:rFonts w:ascii="Garamond" w:eastAsia="Garamond" w:hAnsi="Garamond" w:cs="Garamond"/>
          <w:b/>
          <w:color w:val="000000"/>
          <w:sz w:val="24"/>
          <w:szCs w:val="24"/>
        </w:rPr>
        <w:t>INTRODUCTION</w:t>
      </w:r>
    </w:p>
    <w:p w14:paraId="34149C4E" w14:textId="77777777" w:rsidR="00EF00A5" w:rsidRDefault="00000000">
      <w:pPr>
        <w:pBdr>
          <w:top w:val="nil"/>
          <w:left w:val="nil"/>
          <w:bottom w:val="nil"/>
          <w:right w:val="nil"/>
          <w:between w:val="nil"/>
        </w:pBdr>
        <w:spacing w:before="280" w:after="280"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Digital transformation has become a central theme in corporate sustainability research, driven by rapid technological advances and urgent environmental imperatives. Organizations increasingly adopt AI, IoT, big data, and blockchain to strengthen Environmental, Social, and Governance (ESG) performance and meet stakeholder expectations. Recent studies show that digitalization fosters eco-efficiency, renewable energy integration, and green innovation capacity (Chao et al., 2024; Bian, 2025). Despite these advances, global carbon emissions remain high rising by 1.1% in 2023 according to the IEA indicating a research gap in understanding how digital and green technologies can be strategically aligned for measurable sustainability outcomes, particularly in emerging </w:t>
      </w:r>
      <w:proofErr w:type="gramStart"/>
      <w:r>
        <w:rPr>
          <w:rFonts w:ascii="Garamond" w:eastAsia="Garamond" w:hAnsi="Garamond" w:cs="Garamond"/>
          <w:color w:val="000000"/>
          <w:sz w:val="24"/>
          <w:szCs w:val="24"/>
        </w:rPr>
        <w:t>markets..</w:t>
      </w:r>
      <w:proofErr w:type="gramEnd"/>
    </w:p>
    <w:p w14:paraId="15BD302F" w14:textId="77777777" w:rsidR="00EF00A5" w:rsidRDefault="00000000">
      <w:pPr>
        <w:pBdr>
          <w:top w:val="nil"/>
          <w:left w:val="nil"/>
          <w:bottom w:val="nil"/>
          <w:right w:val="nil"/>
          <w:between w:val="nil"/>
        </w:pBdr>
        <w:spacing w:before="280" w:after="280"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Efforts to systematically quantify the impact of digital transformation on sustainability outcomes have yielded analytical tools and frameworks that bridge theory with practice. Among these, the Technology–Organization–Environment (TOE) model provides a structured lens to examine how </w:t>
      </w:r>
      <w:r>
        <w:rPr>
          <w:rFonts w:ascii="Garamond" w:eastAsia="Garamond" w:hAnsi="Garamond" w:cs="Garamond"/>
          <w:color w:val="000000"/>
          <w:sz w:val="24"/>
          <w:szCs w:val="24"/>
        </w:rPr>
        <w:lastRenderedPageBreak/>
        <w:t xml:space="preserve">digital transformation influences green supply chain development and related operational strategies (Li et al., 2023). This model offers a robust conceptual foundation for exploring the interplay between technology adoption, organizational readiness, and environmental imperatives. Li et al. further stress that organizational structures, managerial capabilities, and </w:t>
      </w:r>
      <w:proofErr w:type="gramStart"/>
      <w:r>
        <w:rPr>
          <w:rFonts w:ascii="Garamond" w:eastAsia="Garamond" w:hAnsi="Garamond" w:cs="Garamond"/>
          <w:color w:val="000000"/>
          <w:sz w:val="24"/>
          <w:szCs w:val="24"/>
        </w:rPr>
        <w:t>socio economic</w:t>
      </w:r>
      <w:proofErr w:type="gramEnd"/>
      <w:r>
        <w:rPr>
          <w:rFonts w:ascii="Garamond" w:eastAsia="Garamond" w:hAnsi="Garamond" w:cs="Garamond"/>
          <w:color w:val="000000"/>
          <w:sz w:val="24"/>
          <w:szCs w:val="24"/>
        </w:rPr>
        <w:t xml:space="preserve"> conditions operate as intermediate variables that can either facilitate or impede the successful integration of digital and green initiatives. Such findings underscore the complexity of aligning digital transformation strategies with sustainability agendas, revealing that success depends not only on technological readiness but also on governance quality and contextual adaptability. Collectively, these studies illuminate the multiple pathways through which digital technologies catalyze corporate transformation, embedding ESG principles into both strategic planning and operational evaluation processes.</w:t>
      </w:r>
    </w:p>
    <w:p w14:paraId="15EE385E" w14:textId="77777777" w:rsidR="00EF00A5" w:rsidRDefault="00000000">
      <w:pPr>
        <w:pBdr>
          <w:top w:val="nil"/>
          <w:left w:val="nil"/>
          <w:bottom w:val="nil"/>
          <w:right w:val="nil"/>
          <w:between w:val="nil"/>
        </w:pBdr>
        <w:spacing w:before="280" w:after="280"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Empirical evidence supports a strong correlation between green technology adoption and ESG performance. Firms adopting renewable energy, energy efficiency retrofits, and low-carbon technologies report higher ESG scores and reputational gains (Yan &amp; Wang, 2025; </w:t>
      </w:r>
      <w:proofErr w:type="spellStart"/>
      <w:r>
        <w:rPr>
          <w:rFonts w:ascii="Garamond" w:eastAsia="Garamond" w:hAnsi="Garamond" w:cs="Garamond"/>
          <w:color w:val="000000"/>
          <w:sz w:val="24"/>
          <w:szCs w:val="24"/>
        </w:rPr>
        <w:t>Foziljonov</w:t>
      </w:r>
      <w:proofErr w:type="spellEnd"/>
      <w:r>
        <w:rPr>
          <w:rFonts w:ascii="Garamond" w:eastAsia="Garamond" w:hAnsi="Garamond" w:cs="Garamond"/>
          <w:color w:val="000000"/>
          <w:sz w:val="24"/>
          <w:szCs w:val="24"/>
        </w:rPr>
        <w:t xml:space="preserve"> et al., 2025). These outcomes suggest that integrating digital tools with green practices not only improves operational efficiency but also enhances stakeholder trust and long-term competitiveness.</w:t>
      </w:r>
    </w:p>
    <w:p w14:paraId="6EF537F3" w14:textId="77777777" w:rsidR="00EF00A5" w:rsidRDefault="00000000">
      <w:pPr>
        <w:pBdr>
          <w:top w:val="nil"/>
          <w:left w:val="nil"/>
          <w:bottom w:val="nil"/>
          <w:right w:val="nil"/>
          <w:between w:val="nil"/>
        </w:pBdr>
        <w:spacing w:before="280" w:after="280"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The dynamics of digital and green technology adoption, however, vary markedly between emerging and developed markets. Firms in emerging economies often contend with infrastructural deficiencies, capital constraints, and inconsistent regulatory enforcement. Bylo (2025) emphasizes the crucial role of green finance in these contexts, noting that innovative financing mechanisms can enable corporate environmental initiatives despite socio economic challenges. Conversely, Wang and Dou (2023) highlight that developed market firms benefit from more mature institutional infrastructures that readily support the adoption of green technologies. Comparative studies reveal that while digital adoption rates tend to be faster in developed economies, emerging market firms often exhibit greater resilience, adaptability, and ingenuity in leveraging available resources toward sustainable transformation.</w:t>
      </w:r>
    </w:p>
    <w:p w14:paraId="50706242" w14:textId="77777777" w:rsidR="00EF00A5" w:rsidRDefault="00000000">
      <w:pPr>
        <w:pBdr>
          <w:top w:val="nil"/>
          <w:left w:val="nil"/>
          <w:bottom w:val="nil"/>
          <w:right w:val="nil"/>
          <w:between w:val="nil"/>
        </w:pBdr>
        <w:spacing w:before="280" w:after="280"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Several theoretical frameworks enrich the understanding of the synergy between digital transformation and environmental innovation. Institutional Theory posits that stakeholder driven pressures from consumers, regulators, investors, and advocacy groups compel organizations to incorporate sustainability objectives into digital transformation strategies (Wang et al., 2022). This aligns with Bian’s (2025) findings that successful digital transformation can significantly enhance green innovation capacity. The dynamic capabilities framework further clarifies how firms develop adaptive strategies to navigate evolving technological landscapes while maintaining sustainability commitments (Li et al., 2023).  Zhao (2025) contribute to this discourse by demonstrating how smart city policies that integrate digital technologies with environmental objectives create enabling conditions for green technology advancement and urban sustainability.</w:t>
      </w:r>
    </w:p>
    <w:p w14:paraId="027656EC" w14:textId="77777777" w:rsidR="00EF00A5" w:rsidRDefault="00000000">
      <w:pPr>
        <w:pBdr>
          <w:top w:val="nil"/>
          <w:left w:val="nil"/>
          <w:bottom w:val="nil"/>
          <w:right w:val="nil"/>
          <w:between w:val="nil"/>
        </w:pBdr>
        <w:spacing w:before="280" w:after="280"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Therefore, this study aims to: (1) analyze how digital transformation moderates the relationship between green technology adoption and corporate sustainability performance, and (2) compare these dynamics across emerging and developed markets. By clarifying this objective, the study </w:t>
      </w:r>
      <w:r>
        <w:rPr>
          <w:rFonts w:ascii="Garamond" w:eastAsia="Garamond" w:hAnsi="Garamond" w:cs="Garamond"/>
          <w:color w:val="000000"/>
          <w:sz w:val="24"/>
          <w:szCs w:val="24"/>
        </w:rPr>
        <w:lastRenderedPageBreak/>
        <w:t>contributes to both theory and practice by demonstrating pathways through which firms can align digitalization with sustainability goals.</w:t>
      </w:r>
    </w:p>
    <w:p w14:paraId="10F14027" w14:textId="77777777" w:rsidR="00EF00A5" w:rsidRDefault="00000000">
      <w:pPr>
        <w:pBdr>
          <w:top w:val="nil"/>
          <w:left w:val="nil"/>
          <w:bottom w:val="nil"/>
          <w:right w:val="nil"/>
          <w:between w:val="nil"/>
        </w:pBdr>
        <w:spacing w:before="280" w:after="280"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Policy environments, particularly in emerging markets, are pivotal in facilitating integrated digital–green transitions. Okeke et al. (2024) identify policy incentives, risk mitigation mechanisms, and targeted regulatory measures as essential to fostering green finance, which in turn catalyzes innovation. </w:t>
      </w:r>
      <w:proofErr w:type="spellStart"/>
      <w:r>
        <w:rPr>
          <w:rFonts w:ascii="Garamond" w:eastAsia="Garamond" w:hAnsi="Garamond" w:cs="Garamond"/>
          <w:color w:val="000000"/>
          <w:sz w:val="24"/>
          <w:szCs w:val="24"/>
        </w:rPr>
        <w:t>Purnawati</w:t>
      </w:r>
      <w:proofErr w:type="spellEnd"/>
      <w:r>
        <w:rPr>
          <w:rFonts w:ascii="Garamond" w:eastAsia="Garamond" w:hAnsi="Garamond" w:cs="Garamond"/>
          <w:color w:val="000000"/>
          <w:sz w:val="24"/>
          <w:szCs w:val="24"/>
        </w:rPr>
        <w:t xml:space="preserve"> et al. (2023) stress the effectiveness of carbon taxes, renewable energy subsidies, and other regulatory instruments in encouraging firms to adopt digital solutions aligned with sustainability objectives. Du et al. (2022) underscore the significance of public–private partnerships in implementing policies that advance green technologies and build ecosystems conducive to sustained innovation.</w:t>
      </w:r>
    </w:p>
    <w:p w14:paraId="1236D64A" w14:textId="77777777" w:rsidR="00EF00A5" w:rsidRDefault="00000000">
      <w:pPr>
        <w:pBdr>
          <w:top w:val="nil"/>
          <w:left w:val="nil"/>
          <w:bottom w:val="nil"/>
          <w:right w:val="nil"/>
          <w:between w:val="nil"/>
        </w:pBdr>
        <w:spacing w:before="280" w:after="280"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Nuanced insights into the role of green finance reveal its transformative impact on innovation capacity within emerging markets. Du et al. (2022) demonstrate that tailored financial mechanisms designed to support sustainable transitions not only facilitate technological adoption but also directly contribute to improved ESG metrics. In conclusion, the intersection of digital transformation and sustainability is influenced by an intricate network of contextual, theoretical, stakeholder, and policy related factors. Drawing upon current literature, this chapter advances a comprehensive understanding of how firms can strategically align digital transformation with green innovation to address urgent environmental challenges, enhance corporate performance, and contribute to long term societal well-being. </w:t>
      </w:r>
    </w:p>
    <w:p w14:paraId="5CC78F40" w14:textId="77777777" w:rsidR="00EF00A5" w:rsidRDefault="00EF00A5">
      <w:pPr>
        <w:pBdr>
          <w:top w:val="nil"/>
          <w:left w:val="nil"/>
          <w:bottom w:val="nil"/>
          <w:right w:val="nil"/>
          <w:between w:val="nil"/>
        </w:pBdr>
        <w:spacing w:before="280" w:after="280" w:line="276" w:lineRule="auto"/>
        <w:jc w:val="both"/>
        <w:rPr>
          <w:rFonts w:ascii="Garamond" w:eastAsia="Garamond" w:hAnsi="Garamond" w:cs="Garamond"/>
          <w:color w:val="000000"/>
          <w:sz w:val="24"/>
          <w:szCs w:val="24"/>
        </w:rPr>
      </w:pPr>
    </w:p>
    <w:p w14:paraId="6ECF7731" w14:textId="77777777" w:rsidR="00EF00A5" w:rsidRDefault="00000000">
      <w:pPr>
        <w:spacing w:line="276" w:lineRule="auto"/>
        <w:rPr>
          <w:rFonts w:ascii="Garamond" w:eastAsia="Garamond" w:hAnsi="Garamond" w:cs="Garamond"/>
          <w:b/>
          <w:sz w:val="24"/>
          <w:szCs w:val="24"/>
        </w:rPr>
      </w:pPr>
      <w:r>
        <w:rPr>
          <w:rFonts w:ascii="Garamond" w:eastAsia="Garamond" w:hAnsi="Garamond" w:cs="Garamond"/>
          <w:b/>
          <w:sz w:val="24"/>
          <w:szCs w:val="24"/>
        </w:rPr>
        <w:t>METHOD</w:t>
      </w:r>
    </w:p>
    <w:p w14:paraId="6BDB9820" w14:textId="77777777" w:rsidR="00EF00A5" w:rsidRDefault="00000000">
      <w:pPr>
        <w:pBdr>
          <w:top w:val="nil"/>
          <w:left w:val="nil"/>
          <w:bottom w:val="nil"/>
          <w:right w:val="nil"/>
          <w:between w:val="nil"/>
        </w:pBdr>
        <w:spacing w:before="280" w:after="280" w:line="276" w:lineRule="auto"/>
        <w:rPr>
          <w:rFonts w:ascii="Garamond" w:eastAsia="Garamond" w:hAnsi="Garamond" w:cs="Garamond"/>
          <w:color w:val="000000"/>
          <w:sz w:val="24"/>
          <w:szCs w:val="24"/>
        </w:rPr>
      </w:pPr>
      <w:r>
        <w:rPr>
          <w:rFonts w:ascii="Garamond" w:eastAsia="Garamond" w:hAnsi="Garamond" w:cs="Garamond"/>
          <w:color w:val="000000"/>
          <w:sz w:val="24"/>
          <w:szCs w:val="24"/>
        </w:rPr>
        <w:t>This study employs a comprehensive quantitative research design built on secondary data analysis to examine the moderating effect of digital transformation on the relationship between green technology adoption and corporate sustainability performance. The design integrates multiple complementary analytical approaches to ensure robustness and depth. The core components include:</w:t>
      </w:r>
    </w:p>
    <w:p w14:paraId="6267EBA0" w14:textId="77777777" w:rsidR="00EF00A5" w:rsidRDefault="00000000">
      <w:pPr>
        <w:numPr>
          <w:ilvl w:val="0"/>
          <w:numId w:val="1"/>
        </w:numPr>
        <w:pBdr>
          <w:top w:val="nil"/>
          <w:left w:val="nil"/>
          <w:bottom w:val="nil"/>
          <w:right w:val="nil"/>
          <w:between w:val="nil"/>
        </w:pBdr>
        <w:spacing w:before="280" w:after="0" w:line="276" w:lineRule="auto"/>
        <w:rPr>
          <w:rFonts w:ascii="Garamond" w:eastAsia="Garamond" w:hAnsi="Garamond" w:cs="Garamond"/>
          <w:color w:val="000000"/>
          <w:sz w:val="24"/>
          <w:szCs w:val="24"/>
        </w:rPr>
      </w:pPr>
      <w:r>
        <w:rPr>
          <w:rFonts w:ascii="Garamond" w:eastAsia="Garamond" w:hAnsi="Garamond" w:cs="Garamond"/>
          <w:color w:val="000000"/>
          <w:sz w:val="24"/>
          <w:szCs w:val="24"/>
        </w:rPr>
        <w:t>Panel Regression with Interaction Terms to evaluate the primary hypothesis and measure moderation effects over time.</w:t>
      </w:r>
    </w:p>
    <w:p w14:paraId="47C73776" w14:textId="77777777" w:rsidR="00EF00A5" w:rsidRDefault="00000000">
      <w:pPr>
        <w:numPr>
          <w:ilvl w:val="0"/>
          <w:numId w:val="1"/>
        </w:numPr>
        <w:pBdr>
          <w:top w:val="nil"/>
          <w:left w:val="nil"/>
          <w:bottom w:val="nil"/>
          <w:right w:val="nil"/>
          <w:between w:val="nil"/>
        </w:pBdr>
        <w:spacing w:after="0" w:line="276" w:lineRule="auto"/>
        <w:rPr>
          <w:rFonts w:ascii="Garamond" w:eastAsia="Garamond" w:hAnsi="Garamond" w:cs="Garamond"/>
          <w:color w:val="000000"/>
          <w:sz w:val="24"/>
          <w:szCs w:val="24"/>
        </w:rPr>
      </w:pPr>
      <w:r>
        <w:rPr>
          <w:rFonts w:ascii="Garamond" w:eastAsia="Garamond" w:hAnsi="Garamond" w:cs="Garamond"/>
          <w:color w:val="000000"/>
          <w:sz w:val="24"/>
          <w:szCs w:val="24"/>
        </w:rPr>
        <w:t xml:space="preserve">Event Study Analysis to capture discrete shifts in corporate performance indicators </w:t>
      </w:r>
      <w:proofErr w:type="gramStart"/>
      <w:r>
        <w:rPr>
          <w:rFonts w:ascii="Garamond" w:eastAsia="Garamond" w:hAnsi="Garamond" w:cs="Garamond"/>
          <w:color w:val="000000"/>
          <w:sz w:val="24"/>
          <w:szCs w:val="24"/>
        </w:rPr>
        <w:t>pre  and</w:t>
      </w:r>
      <w:proofErr w:type="gramEnd"/>
      <w:r>
        <w:rPr>
          <w:rFonts w:ascii="Garamond" w:eastAsia="Garamond" w:hAnsi="Garamond" w:cs="Garamond"/>
          <w:color w:val="000000"/>
          <w:sz w:val="24"/>
          <w:szCs w:val="24"/>
        </w:rPr>
        <w:t xml:space="preserve"> post green technology adoption.</w:t>
      </w:r>
    </w:p>
    <w:p w14:paraId="40A777A5" w14:textId="77777777" w:rsidR="00EF00A5" w:rsidRDefault="00000000">
      <w:pPr>
        <w:numPr>
          <w:ilvl w:val="0"/>
          <w:numId w:val="1"/>
        </w:numPr>
        <w:pBdr>
          <w:top w:val="nil"/>
          <w:left w:val="nil"/>
          <w:bottom w:val="nil"/>
          <w:right w:val="nil"/>
          <w:between w:val="nil"/>
        </w:pBdr>
        <w:spacing w:after="280" w:line="276" w:lineRule="auto"/>
        <w:rPr>
          <w:rFonts w:ascii="Garamond" w:eastAsia="Garamond" w:hAnsi="Garamond" w:cs="Garamond"/>
          <w:color w:val="000000"/>
          <w:sz w:val="24"/>
          <w:szCs w:val="24"/>
        </w:rPr>
      </w:pPr>
      <w:r>
        <w:rPr>
          <w:rFonts w:ascii="Garamond" w:eastAsia="Garamond" w:hAnsi="Garamond" w:cs="Garamond"/>
          <w:color w:val="000000"/>
          <w:sz w:val="24"/>
          <w:szCs w:val="24"/>
        </w:rPr>
        <w:t>Project Level Efficiency</w:t>
      </w:r>
      <w:r>
        <w:rPr>
          <w:rFonts w:ascii="Garamond" w:eastAsia="Garamond" w:hAnsi="Garamond" w:cs="Garamond"/>
          <w:b/>
          <w:color w:val="000000"/>
          <w:sz w:val="24"/>
          <w:szCs w:val="24"/>
        </w:rPr>
        <w:t xml:space="preserve"> </w:t>
      </w:r>
      <w:r>
        <w:rPr>
          <w:rFonts w:ascii="Garamond" w:eastAsia="Garamond" w:hAnsi="Garamond" w:cs="Garamond"/>
          <w:color w:val="000000"/>
          <w:sz w:val="24"/>
          <w:szCs w:val="24"/>
        </w:rPr>
        <w:t>Assessment to understand the micro level impacts of specific digital interventions on operational efficiency. This multi method approach not only facilitates triangulation of results but also allows for a nuanced understanding of firm level variation across sectors and timeframes.</w:t>
      </w:r>
    </w:p>
    <w:p w14:paraId="6077598F" w14:textId="77777777" w:rsidR="009D487D" w:rsidRDefault="009D487D">
      <w:pPr>
        <w:pBdr>
          <w:top w:val="nil"/>
          <w:left w:val="nil"/>
          <w:bottom w:val="nil"/>
          <w:right w:val="nil"/>
          <w:between w:val="nil"/>
        </w:pBdr>
        <w:spacing w:before="280" w:after="280" w:line="276" w:lineRule="auto"/>
        <w:rPr>
          <w:rFonts w:ascii="Garamond" w:eastAsia="Garamond" w:hAnsi="Garamond" w:cs="Garamond"/>
          <w:b/>
          <w:color w:val="000000"/>
          <w:sz w:val="24"/>
          <w:szCs w:val="24"/>
        </w:rPr>
      </w:pPr>
    </w:p>
    <w:p w14:paraId="4EE33F6F" w14:textId="77777777" w:rsidR="009D487D" w:rsidRDefault="009D487D">
      <w:pPr>
        <w:pBdr>
          <w:top w:val="nil"/>
          <w:left w:val="nil"/>
          <w:bottom w:val="nil"/>
          <w:right w:val="nil"/>
          <w:between w:val="nil"/>
        </w:pBdr>
        <w:spacing w:before="280" w:after="280" w:line="276" w:lineRule="auto"/>
        <w:rPr>
          <w:rFonts w:ascii="Garamond" w:eastAsia="Garamond" w:hAnsi="Garamond" w:cs="Garamond"/>
          <w:b/>
          <w:color w:val="000000"/>
          <w:sz w:val="24"/>
          <w:szCs w:val="24"/>
        </w:rPr>
      </w:pPr>
    </w:p>
    <w:p w14:paraId="73A5BD3F" w14:textId="5DB39EE2" w:rsidR="00EF00A5" w:rsidRDefault="00000000">
      <w:pPr>
        <w:pBdr>
          <w:top w:val="nil"/>
          <w:left w:val="nil"/>
          <w:bottom w:val="nil"/>
          <w:right w:val="nil"/>
          <w:between w:val="nil"/>
        </w:pBdr>
        <w:spacing w:before="280" w:after="280" w:line="276" w:lineRule="auto"/>
        <w:rPr>
          <w:rFonts w:ascii="Garamond" w:eastAsia="Garamond" w:hAnsi="Garamond" w:cs="Garamond"/>
          <w:color w:val="000000"/>
          <w:sz w:val="24"/>
          <w:szCs w:val="24"/>
        </w:rPr>
      </w:pPr>
      <w:r>
        <w:rPr>
          <w:rFonts w:ascii="Garamond" w:eastAsia="Garamond" w:hAnsi="Garamond" w:cs="Garamond"/>
          <w:b/>
          <w:color w:val="000000"/>
          <w:sz w:val="24"/>
          <w:szCs w:val="24"/>
        </w:rPr>
        <w:lastRenderedPageBreak/>
        <w:t>Data Sources</w:t>
      </w:r>
    </w:p>
    <w:p w14:paraId="6F88C57D" w14:textId="77777777" w:rsidR="00EF00A5" w:rsidRDefault="00000000">
      <w:pPr>
        <w:pBdr>
          <w:top w:val="nil"/>
          <w:left w:val="nil"/>
          <w:bottom w:val="nil"/>
          <w:right w:val="nil"/>
          <w:between w:val="nil"/>
        </w:pBdr>
        <w:spacing w:before="280" w:after="280" w:line="276" w:lineRule="auto"/>
        <w:rPr>
          <w:rFonts w:ascii="Garamond" w:eastAsia="Garamond" w:hAnsi="Garamond" w:cs="Garamond"/>
          <w:color w:val="000000"/>
          <w:sz w:val="24"/>
          <w:szCs w:val="24"/>
        </w:rPr>
      </w:pPr>
      <w:r>
        <w:rPr>
          <w:rFonts w:ascii="Garamond" w:eastAsia="Garamond" w:hAnsi="Garamond" w:cs="Garamond"/>
          <w:color w:val="000000"/>
          <w:sz w:val="24"/>
          <w:szCs w:val="24"/>
        </w:rPr>
        <w:t>ESG scores were sourced from established rating agencies, ensuring standardized and comparable measures of corporate environmental, social, and governance performance across industries. These scores reflect both qualitative and quantitative indicators of sustainability.</w:t>
      </w:r>
    </w:p>
    <w:p w14:paraId="2EDFBBC9" w14:textId="77777777" w:rsidR="00EF00A5" w:rsidRDefault="00000000">
      <w:pPr>
        <w:pBdr>
          <w:top w:val="nil"/>
          <w:left w:val="nil"/>
          <w:bottom w:val="nil"/>
          <w:right w:val="nil"/>
          <w:between w:val="nil"/>
        </w:pBdr>
        <w:spacing w:before="280" w:after="280" w:line="276" w:lineRule="auto"/>
        <w:rPr>
          <w:rFonts w:ascii="Garamond" w:eastAsia="Garamond" w:hAnsi="Garamond" w:cs="Garamond"/>
          <w:color w:val="000000"/>
          <w:sz w:val="24"/>
          <w:szCs w:val="24"/>
        </w:rPr>
      </w:pPr>
      <w:r>
        <w:rPr>
          <w:rFonts w:ascii="Garamond" w:eastAsia="Garamond" w:hAnsi="Garamond" w:cs="Garamond"/>
          <w:color w:val="000000"/>
          <w:sz w:val="24"/>
          <w:szCs w:val="24"/>
        </w:rPr>
        <w:t>Annual sustainability reports, integrated financial statements, and carbon disclosure submissions provided detailed operational data, including emissions performance, energy usage patterns, renewable energy adoption rates, and sustainability initiatives.</w:t>
      </w:r>
    </w:p>
    <w:p w14:paraId="5886C949" w14:textId="77777777" w:rsidR="00EF00A5" w:rsidRDefault="00000000">
      <w:pPr>
        <w:pBdr>
          <w:top w:val="nil"/>
          <w:left w:val="nil"/>
          <w:bottom w:val="nil"/>
          <w:right w:val="nil"/>
          <w:between w:val="nil"/>
        </w:pBdr>
        <w:spacing w:before="280" w:after="280" w:line="276" w:lineRule="auto"/>
        <w:rPr>
          <w:rFonts w:ascii="Garamond" w:eastAsia="Garamond" w:hAnsi="Garamond" w:cs="Garamond"/>
          <w:color w:val="000000"/>
          <w:sz w:val="24"/>
          <w:szCs w:val="24"/>
        </w:rPr>
      </w:pPr>
      <w:r>
        <w:rPr>
          <w:rFonts w:ascii="Garamond" w:eastAsia="Garamond" w:hAnsi="Garamond" w:cs="Garamond"/>
          <w:color w:val="000000"/>
          <w:sz w:val="24"/>
          <w:szCs w:val="24"/>
        </w:rPr>
        <w:t>A combination of proprietary indexes and public databases was used to assess digital maturity. These indices included metrics on AI deployment, IoT enabled resource monitoring, big data analytics capacity, ERP–ESG integration, cloud computing usage, and cybersecurity readiness relevant to sustainability operations.</w:t>
      </w:r>
    </w:p>
    <w:p w14:paraId="45E4D61A" w14:textId="0FACA7BF" w:rsidR="00EF00A5" w:rsidRDefault="00000000">
      <w:pPr>
        <w:pBdr>
          <w:top w:val="nil"/>
          <w:left w:val="nil"/>
          <w:bottom w:val="nil"/>
          <w:right w:val="nil"/>
          <w:between w:val="nil"/>
        </w:pBdr>
        <w:spacing w:before="280" w:after="280" w:line="276" w:lineRule="auto"/>
        <w:rPr>
          <w:rFonts w:ascii="Garamond" w:eastAsia="Garamond" w:hAnsi="Garamond" w:cs="Garamond"/>
          <w:color w:val="000000"/>
          <w:sz w:val="24"/>
          <w:szCs w:val="24"/>
        </w:rPr>
      </w:pPr>
      <w:r>
        <w:rPr>
          <w:rFonts w:ascii="Garamond" w:eastAsia="Garamond" w:hAnsi="Garamond" w:cs="Garamond"/>
          <w:b/>
          <w:color w:val="000000"/>
          <w:sz w:val="24"/>
          <w:szCs w:val="24"/>
        </w:rPr>
        <w:t>Variables and Measurement</w:t>
      </w:r>
    </w:p>
    <w:p w14:paraId="69F78244" w14:textId="77777777" w:rsidR="00EF00A5" w:rsidRDefault="00000000">
      <w:pPr>
        <w:pBdr>
          <w:top w:val="nil"/>
          <w:left w:val="nil"/>
          <w:bottom w:val="nil"/>
          <w:right w:val="nil"/>
          <w:between w:val="nil"/>
        </w:pBdr>
        <w:spacing w:before="280" w:after="280" w:line="276" w:lineRule="auto"/>
        <w:rPr>
          <w:rFonts w:ascii="Garamond" w:eastAsia="Garamond" w:hAnsi="Garamond" w:cs="Garamond"/>
          <w:color w:val="000000"/>
          <w:sz w:val="24"/>
          <w:szCs w:val="24"/>
        </w:rPr>
      </w:pPr>
      <w:r>
        <w:rPr>
          <w:rFonts w:ascii="Garamond" w:eastAsia="Garamond" w:hAnsi="Garamond" w:cs="Garamond"/>
          <w:color w:val="000000"/>
          <w:sz w:val="24"/>
          <w:szCs w:val="24"/>
        </w:rPr>
        <w:t>Green Technology Adoption Index (0–1): A composite indicator encompassing renewable energy share (% of electricity from renewables), energy efficiency retrofits (number and scale of retrofits), adoption of low carbon fuels, waste heat recovery projects, and the number of green patents registered.</w:t>
      </w:r>
    </w:p>
    <w:p w14:paraId="4D9E33E3" w14:textId="77777777" w:rsidR="00EF00A5" w:rsidRDefault="00000000">
      <w:pPr>
        <w:pBdr>
          <w:top w:val="nil"/>
          <w:left w:val="nil"/>
          <w:bottom w:val="nil"/>
          <w:right w:val="nil"/>
          <w:between w:val="nil"/>
        </w:pBdr>
        <w:spacing w:before="280" w:after="280" w:line="276" w:lineRule="auto"/>
        <w:rPr>
          <w:rFonts w:ascii="Garamond" w:eastAsia="Garamond" w:hAnsi="Garamond" w:cs="Garamond"/>
          <w:color w:val="000000"/>
          <w:sz w:val="24"/>
          <w:szCs w:val="24"/>
        </w:rPr>
      </w:pPr>
      <w:r>
        <w:rPr>
          <w:rFonts w:ascii="Garamond" w:eastAsia="Garamond" w:hAnsi="Garamond" w:cs="Garamond"/>
          <w:color w:val="000000"/>
          <w:sz w:val="24"/>
          <w:szCs w:val="24"/>
        </w:rPr>
        <w:t xml:space="preserve">Digital Transformation Index (0–1): A composite measure capturing AI driven analytics for sustainability, IoT based environmental monitoring, big data processing capabilities, ERP–ESG reporting integration, and adoption of </w:t>
      </w:r>
      <w:proofErr w:type="gramStart"/>
      <w:r>
        <w:rPr>
          <w:rFonts w:ascii="Garamond" w:eastAsia="Garamond" w:hAnsi="Garamond" w:cs="Garamond"/>
          <w:color w:val="000000"/>
          <w:sz w:val="24"/>
          <w:szCs w:val="24"/>
        </w:rPr>
        <w:t>cloud based</w:t>
      </w:r>
      <w:proofErr w:type="gramEnd"/>
      <w:r>
        <w:rPr>
          <w:rFonts w:ascii="Garamond" w:eastAsia="Garamond" w:hAnsi="Garamond" w:cs="Garamond"/>
          <w:color w:val="000000"/>
          <w:sz w:val="24"/>
          <w:szCs w:val="24"/>
        </w:rPr>
        <w:t xml:space="preserve"> sustainability platforms.</w:t>
      </w:r>
    </w:p>
    <w:p w14:paraId="3B09E656" w14:textId="77777777" w:rsidR="00EF00A5" w:rsidRDefault="00000000">
      <w:pPr>
        <w:numPr>
          <w:ilvl w:val="0"/>
          <w:numId w:val="2"/>
        </w:numPr>
        <w:pBdr>
          <w:top w:val="nil"/>
          <w:left w:val="nil"/>
          <w:bottom w:val="nil"/>
          <w:right w:val="nil"/>
          <w:between w:val="nil"/>
        </w:pBdr>
        <w:spacing w:before="280" w:after="0" w:line="276" w:lineRule="auto"/>
        <w:rPr>
          <w:rFonts w:ascii="Garamond" w:eastAsia="Garamond" w:hAnsi="Garamond" w:cs="Garamond"/>
          <w:color w:val="000000"/>
          <w:sz w:val="24"/>
          <w:szCs w:val="24"/>
        </w:rPr>
      </w:pPr>
      <w:r>
        <w:rPr>
          <w:rFonts w:ascii="Garamond" w:eastAsia="Garamond" w:hAnsi="Garamond" w:cs="Garamond"/>
          <w:color w:val="000000"/>
          <w:sz w:val="24"/>
          <w:szCs w:val="24"/>
        </w:rPr>
        <w:t>ESG Score: A continuous variable (0–100) representing overall sustainability performance.</w:t>
      </w:r>
    </w:p>
    <w:p w14:paraId="05D63668" w14:textId="77777777" w:rsidR="00EF00A5" w:rsidRDefault="00000000">
      <w:pPr>
        <w:numPr>
          <w:ilvl w:val="0"/>
          <w:numId w:val="2"/>
        </w:numPr>
        <w:pBdr>
          <w:top w:val="nil"/>
          <w:left w:val="nil"/>
          <w:bottom w:val="nil"/>
          <w:right w:val="nil"/>
          <w:between w:val="nil"/>
        </w:pBdr>
        <w:spacing w:after="0" w:line="276" w:lineRule="auto"/>
        <w:rPr>
          <w:rFonts w:ascii="Garamond" w:eastAsia="Garamond" w:hAnsi="Garamond" w:cs="Garamond"/>
          <w:color w:val="000000"/>
          <w:sz w:val="24"/>
          <w:szCs w:val="24"/>
        </w:rPr>
      </w:pPr>
      <w:proofErr w:type="spellStart"/>
      <w:r>
        <w:rPr>
          <w:rFonts w:ascii="Garamond" w:eastAsia="Garamond" w:hAnsi="Garamond" w:cs="Garamond"/>
          <w:color w:val="000000"/>
          <w:sz w:val="24"/>
          <w:szCs w:val="24"/>
        </w:rPr>
        <w:t>CO</w:t>
      </w:r>
      <w:r>
        <w:rPr>
          <w:rFonts w:ascii="Cambria Math" w:eastAsia="Cambria Math" w:hAnsi="Cambria Math" w:cs="Cambria Math"/>
          <w:color w:val="000000"/>
          <w:sz w:val="24"/>
          <w:szCs w:val="24"/>
        </w:rPr>
        <w:t>₂</w:t>
      </w:r>
      <w:r>
        <w:rPr>
          <w:rFonts w:ascii="Garamond" w:eastAsia="Garamond" w:hAnsi="Garamond" w:cs="Garamond"/>
          <w:color w:val="000000"/>
          <w:sz w:val="24"/>
          <w:szCs w:val="24"/>
        </w:rPr>
        <w:t>e</w:t>
      </w:r>
      <w:proofErr w:type="spellEnd"/>
      <w:r>
        <w:rPr>
          <w:rFonts w:ascii="Garamond" w:eastAsia="Garamond" w:hAnsi="Garamond" w:cs="Garamond"/>
          <w:color w:val="000000"/>
          <w:sz w:val="24"/>
          <w:szCs w:val="24"/>
        </w:rPr>
        <w:t xml:space="preserve"> Intensity: Tons of CO</w:t>
      </w:r>
      <w:r>
        <w:rPr>
          <w:rFonts w:ascii="Cambria Math" w:eastAsia="Cambria Math" w:hAnsi="Cambria Math" w:cs="Cambria Math"/>
          <w:color w:val="000000"/>
          <w:sz w:val="24"/>
          <w:szCs w:val="24"/>
        </w:rPr>
        <w:t>₂</w:t>
      </w:r>
      <w:r>
        <w:rPr>
          <w:rFonts w:ascii="Garamond" w:eastAsia="Garamond" w:hAnsi="Garamond" w:cs="Garamond"/>
          <w:color w:val="000000"/>
          <w:sz w:val="24"/>
          <w:szCs w:val="24"/>
        </w:rPr>
        <w:t xml:space="preserve"> equivalent per unit of revenue, normalized for comparability.</w:t>
      </w:r>
    </w:p>
    <w:p w14:paraId="05F1DA00" w14:textId="77777777" w:rsidR="00EF00A5" w:rsidRDefault="00000000">
      <w:pPr>
        <w:numPr>
          <w:ilvl w:val="0"/>
          <w:numId w:val="2"/>
        </w:numPr>
        <w:pBdr>
          <w:top w:val="nil"/>
          <w:left w:val="nil"/>
          <w:bottom w:val="nil"/>
          <w:right w:val="nil"/>
          <w:between w:val="nil"/>
        </w:pBdr>
        <w:spacing w:after="280" w:line="276" w:lineRule="auto"/>
        <w:rPr>
          <w:rFonts w:ascii="Garamond" w:eastAsia="Garamond" w:hAnsi="Garamond" w:cs="Garamond"/>
          <w:color w:val="000000"/>
          <w:sz w:val="24"/>
          <w:szCs w:val="24"/>
        </w:rPr>
      </w:pPr>
      <w:r>
        <w:rPr>
          <w:rFonts w:ascii="Garamond" w:eastAsia="Garamond" w:hAnsi="Garamond" w:cs="Garamond"/>
          <w:color w:val="000000"/>
          <w:sz w:val="24"/>
          <w:szCs w:val="24"/>
        </w:rPr>
        <w:t>ROA: Return on assets, calculated as net income divided by total assets, expressed as a percentage.</w:t>
      </w:r>
    </w:p>
    <w:p w14:paraId="2E0DA30C" w14:textId="77777777" w:rsidR="00EF00A5" w:rsidRDefault="00000000">
      <w:pPr>
        <w:pBdr>
          <w:top w:val="nil"/>
          <w:left w:val="nil"/>
          <w:bottom w:val="nil"/>
          <w:right w:val="nil"/>
          <w:between w:val="nil"/>
        </w:pBdr>
        <w:spacing w:before="280" w:after="280" w:line="276" w:lineRule="auto"/>
        <w:rPr>
          <w:rFonts w:ascii="Garamond" w:eastAsia="Garamond" w:hAnsi="Garamond" w:cs="Garamond"/>
          <w:color w:val="000000"/>
          <w:sz w:val="24"/>
          <w:szCs w:val="24"/>
        </w:rPr>
      </w:pPr>
      <w:r>
        <w:rPr>
          <w:rFonts w:ascii="Garamond" w:eastAsia="Garamond" w:hAnsi="Garamond" w:cs="Garamond"/>
          <w:color w:val="000000"/>
          <w:sz w:val="24"/>
          <w:szCs w:val="24"/>
        </w:rPr>
        <w:t>Industry classification, firm size (natural log of total assets), leverage ratio (total debt/total assets), and ISO 14001 environmental management certification status.</w:t>
      </w:r>
    </w:p>
    <w:p w14:paraId="35B51469" w14:textId="77777777" w:rsidR="009D487D" w:rsidRDefault="009D487D">
      <w:pPr>
        <w:pBdr>
          <w:top w:val="nil"/>
          <w:left w:val="nil"/>
          <w:bottom w:val="nil"/>
          <w:right w:val="nil"/>
          <w:between w:val="nil"/>
        </w:pBdr>
        <w:spacing w:before="280" w:after="280" w:line="276" w:lineRule="auto"/>
        <w:rPr>
          <w:rFonts w:ascii="Garamond" w:eastAsia="Garamond" w:hAnsi="Garamond" w:cs="Garamond"/>
          <w:b/>
          <w:color w:val="000000"/>
          <w:sz w:val="24"/>
          <w:szCs w:val="24"/>
        </w:rPr>
      </w:pPr>
    </w:p>
    <w:p w14:paraId="5C34DC00" w14:textId="71F3EC17" w:rsidR="00EF00A5" w:rsidRDefault="00000000">
      <w:pPr>
        <w:pBdr>
          <w:top w:val="nil"/>
          <w:left w:val="nil"/>
          <w:bottom w:val="nil"/>
          <w:right w:val="nil"/>
          <w:between w:val="nil"/>
        </w:pBdr>
        <w:spacing w:before="280" w:after="280" w:line="276" w:lineRule="auto"/>
        <w:rPr>
          <w:rFonts w:ascii="Garamond" w:eastAsia="Garamond" w:hAnsi="Garamond" w:cs="Garamond"/>
          <w:color w:val="000000"/>
          <w:sz w:val="24"/>
          <w:szCs w:val="24"/>
        </w:rPr>
      </w:pPr>
      <w:r>
        <w:rPr>
          <w:rFonts w:ascii="Garamond" w:eastAsia="Garamond" w:hAnsi="Garamond" w:cs="Garamond"/>
          <w:b/>
          <w:color w:val="000000"/>
          <w:sz w:val="24"/>
          <w:szCs w:val="24"/>
        </w:rPr>
        <w:t>Analytical Methods</w:t>
      </w:r>
    </w:p>
    <w:p w14:paraId="664B42AA" w14:textId="77777777" w:rsidR="00EF00A5" w:rsidRDefault="00000000">
      <w:pPr>
        <w:pBdr>
          <w:top w:val="nil"/>
          <w:left w:val="nil"/>
          <w:bottom w:val="nil"/>
          <w:right w:val="nil"/>
          <w:between w:val="nil"/>
        </w:pBdr>
        <w:spacing w:before="280" w:after="280" w:line="276" w:lineRule="auto"/>
        <w:rPr>
          <w:rFonts w:ascii="Garamond" w:eastAsia="Garamond" w:hAnsi="Garamond" w:cs="Garamond"/>
          <w:color w:val="000000"/>
          <w:sz w:val="24"/>
          <w:szCs w:val="24"/>
        </w:rPr>
      </w:pPr>
      <w:r>
        <w:rPr>
          <w:rFonts w:ascii="Garamond" w:eastAsia="Garamond" w:hAnsi="Garamond" w:cs="Garamond"/>
          <w:color w:val="000000"/>
          <w:sz w:val="24"/>
          <w:szCs w:val="24"/>
        </w:rPr>
        <w:t>Panel regressions with fixed and random effects were conducted to capture both time invariant firm characteristics and time specific shocks. Interaction terms between the Green Technology Adoption Index and Digital Transformation Index were included to estimate moderation effects.</w:t>
      </w:r>
    </w:p>
    <w:p w14:paraId="4A51D44D" w14:textId="77777777" w:rsidR="00EF00A5" w:rsidRDefault="00000000">
      <w:pPr>
        <w:pBdr>
          <w:top w:val="nil"/>
          <w:left w:val="nil"/>
          <w:bottom w:val="nil"/>
          <w:right w:val="nil"/>
          <w:between w:val="nil"/>
        </w:pBdr>
        <w:spacing w:before="280" w:after="280" w:line="276" w:lineRule="auto"/>
        <w:rPr>
          <w:rFonts w:ascii="Garamond" w:eastAsia="Garamond" w:hAnsi="Garamond" w:cs="Garamond"/>
          <w:color w:val="000000"/>
          <w:sz w:val="24"/>
          <w:szCs w:val="24"/>
        </w:rPr>
      </w:pPr>
      <w:r>
        <w:rPr>
          <w:rFonts w:ascii="Garamond" w:eastAsia="Garamond" w:hAnsi="Garamond" w:cs="Garamond"/>
          <w:color w:val="000000"/>
          <w:sz w:val="24"/>
          <w:szCs w:val="24"/>
        </w:rPr>
        <w:t>The event study approach compared key metrics for adopters and matched non adopters in the year before and after adoption. Matching was done based on industry, firm size, and baseline ESG performance to control for confounding variables.</w:t>
      </w:r>
    </w:p>
    <w:p w14:paraId="02355FF6" w14:textId="77777777" w:rsidR="00EF00A5" w:rsidRDefault="00000000">
      <w:pPr>
        <w:pBdr>
          <w:top w:val="nil"/>
          <w:left w:val="nil"/>
          <w:bottom w:val="nil"/>
          <w:right w:val="nil"/>
          <w:between w:val="nil"/>
        </w:pBdr>
        <w:spacing w:before="280" w:after="280" w:line="276" w:lineRule="auto"/>
        <w:rPr>
          <w:rFonts w:ascii="Garamond" w:eastAsia="Garamond" w:hAnsi="Garamond" w:cs="Garamond"/>
          <w:color w:val="000000"/>
          <w:sz w:val="24"/>
          <w:szCs w:val="24"/>
        </w:rPr>
      </w:pPr>
      <w:r>
        <w:rPr>
          <w:rFonts w:ascii="Garamond" w:eastAsia="Garamond" w:hAnsi="Garamond" w:cs="Garamond"/>
          <w:color w:val="000000"/>
          <w:sz w:val="24"/>
          <w:szCs w:val="24"/>
        </w:rPr>
        <w:lastRenderedPageBreak/>
        <w:t>Detailed project level data was analyzed to isolate the effects of specific digital interventions (e.g., AI energy optimization tools, IoT based water management) on operational efficiency metrics such as kWh per unit output.</w:t>
      </w:r>
    </w:p>
    <w:p w14:paraId="10B2F3BC" w14:textId="77777777" w:rsidR="009D487D" w:rsidRDefault="009D487D">
      <w:pPr>
        <w:pBdr>
          <w:top w:val="nil"/>
          <w:left w:val="nil"/>
          <w:bottom w:val="nil"/>
          <w:right w:val="nil"/>
          <w:between w:val="nil"/>
        </w:pBdr>
        <w:spacing w:before="280" w:after="280" w:line="276" w:lineRule="auto"/>
        <w:rPr>
          <w:rFonts w:ascii="Garamond" w:eastAsia="Garamond" w:hAnsi="Garamond" w:cs="Garamond"/>
          <w:b/>
          <w:color w:val="000000"/>
          <w:sz w:val="24"/>
          <w:szCs w:val="24"/>
        </w:rPr>
      </w:pPr>
    </w:p>
    <w:p w14:paraId="54AF1830" w14:textId="4E2230B2" w:rsidR="00EF00A5" w:rsidRDefault="00000000">
      <w:pPr>
        <w:pBdr>
          <w:top w:val="nil"/>
          <w:left w:val="nil"/>
          <w:bottom w:val="nil"/>
          <w:right w:val="nil"/>
          <w:between w:val="nil"/>
        </w:pBdr>
        <w:spacing w:before="280" w:after="280" w:line="276" w:lineRule="auto"/>
        <w:rPr>
          <w:rFonts w:ascii="Garamond" w:eastAsia="Garamond" w:hAnsi="Garamond" w:cs="Garamond"/>
          <w:color w:val="000000"/>
          <w:sz w:val="24"/>
          <w:szCs w:val="24"/>
        </w:rPr>
      </w:pPr>
      <w:r>
        <w:rPr>
          <w:rFonts w:ascii="Garamond" w:eastAsia="Garamond" w:hAnsi="Garamond" w:cs="Garamond"/>
          <w:b/>
          <w:color w:val="000000"/>
          <w:sz w:val="24"/>
          <w:szCs w:val="24"/>
        </w:rPr>
        <w:t>Robustness Checks</w:t>
      </w:r>
    </w:p>
    <w:p w14:paraId="5C3FCFA4" w14:textId="77777777" w:rsidR="00EF00A5" w:rsidRDefault="00000000">
      <w:pPr>
        <w:pBdr>
          <w:top w:val="nil"/>
          <w:left w:val="nil"/>
          <w:bottom w:val="nil"/>
          <w:right w:val="nil"/>
          <w:between w:val="nil"/>
        </w:pBdr>
        <w:spacing w:before="280" w:after="280" w:line="276" w:lineRule="auto"/>
        <w:rPr>
          <w:rFonts w:ascii="Garamond" w:eastAsia="Garamond" w:hAnsi="Garamond" w:cs="Garamond"/>
          <w:color w:val="000000"/>
          <w:sz w:val="24"/>
          <w:szCs w:val="24"/>
        </w:rPr>
      </w:pPr>
      <w:r>
        <w:rPr>
          <w:rFonts w:ascii="Garamond" w:eastAsia="Garamond" w:hAnsi="Garamond" w:cs="Garamond"/>
          <w:color w:val="000000"/>
          <w:sz w:val="24"/>
          <w:szCs w:val="24"/>
        </w:rPr>
        <w:t>Robustness testing involved:</w:t>
      </w:r>
    </w:p>
    <w:p w14:paraId="170DAE22" w14:textId="77777777" w:rsidR="00EF00A5" w:rsidRDefault="00000000">
      <w:pPr>
        <w:numPr>
          <w:ilvl w:val="0"/>
          <w:numId w:val="3"/>
        </w:numPr>
        <w:pBdr>
          <w:top w:val="nil"/>
          <w:left w:val="nil"/>
          <w:bottom w:val="nil"/>
          <w:right w:val="nil"/>
          <w:between w:val="nil"/>
        </w:pBdr>
        <w:spacing w:before="280" w:after="0" w:line="276" w:lineRule="auto"/>
        <w:rPr>
          <w:rFonts w:ascii="Garamond" w:eastAsia="Garamond" w:hAnsi="Garamond" w:cs="Garamond"/>
          <w:color w:val="000000"/>
          <w:sz w:val="24"/>
          <w:szCs w:val="24"/>
        </w:rPr>
      </w:pPr>
      <w:r>
        <w:rPr>
          <w:rFonts w:ascii="Garamond" w:eastAsia="Garamond" w:hAnsi="Garamond" w:cs="Garamond"/>
          <w:color w:val="000000"/>
          <w:sz w:val="24"/>
          <w:szCs w:val="24"/>
        </w:rPr>
        <w:t>Estimating time lagged models to capture delayed effects of digital–green synergies.</w:t>
      </w:r>
    </w:p>
    <w:p w14:paraId="02DE02E1" w14:textId="77777777" w:rsidR="00EF00A5" w:rsidRDefault="00000000">
      <w:pPr>
        <w:numPr>
          <w:ilvl w:val="0"/>
          <w:numId w:val="3"/>
        </w:numPr>
        <w:pBdr>
          <w:top w:val="nil"/>
          <w:left w:val="nil"/>
          <w:bottom w:val="nil"/>
          <w:right w:val="nil"/>
          <w:between w:val="nil"/>
        </w:pBdr>
        <w:spacing w:after="0" w:line="276" w:lineRule="auto"/>
        <w:rPr>
          <w:rFonts w:ascii="Garamond" w:eastAsia="Garamond" w:hAnsi="Garamond" w:cs="Garamond"/>
          <w:color w:val="000000"/>
          <w:sz w:val="24"/>
          <w:szCs w:val="24"/>
        </w:rPr>
      </w:pPr>
      <w:r>
        <w:rPr>
          <w:rFonts w:ascii="Garamond" w:eastAsia="Garamond" w:hAnsi="Garamond" w:cs="Garamond"/>
          <w:color w:val="000000"/>
          <w:sz w:val="24"/>
          <w:szCs w:val="24"/>
        </w:rPr>
        <w:t>Using alternative composite weightings for the Digital Transformation Index.</w:t>
      </w:r>
    </w:p>
    <w:p w14:paraId="1A2131E1" w14:textId="77777777" w:rsidR="00EF00A5" w:rsidRDefault="00000000">
      <w:pPr>
        <w:numPr>
          <w:ilvl w:val="0"/>
          <w:numId w:val="3"/>
        </w:numPr>
        <w:pBdr>
          <w:top w:val="nil"/>
          <w:left w:val="nil"/>
          <w:bottom w:val="nil"/>
          <w:right w:val="nil"/>
          <w:between w:val="nil"/>
        </w:pBdr>
        <w:spacing w:after="0" w:line="276" w:lineRule="auto"/>
        <w:rPr>
          <w:rFonts w:ascii="Garamond" w:eastAsia="Garamond" w:hAnsi="Garamond" w:cs="Garamond"/>
          <w:color w:val="000000"/>
          <w:sz w:val="24"/>
          <w:szCs w:val="24"/>
        </w:rPr>
      </w:pPr>
      <w:r>
        <w:rPr>
          <w:rFonts w:ascii="Garamond" w:eastAsia="Garamond" w:hAnsi="Garamond" w:cs="Garamond"/>
          <w:color w:val="000000"/>
          <w:sz w:val="24"/>
          <w:szCs w:val="24"/>
        </w:rPr>
        <w:t>Conducting subsample analyses by industry (high carbon vs. low carbon) and firm size.</w:t>
      </w:r>
    </w:p>
    <w:p w14:paraId="06834ACD" w14:textId="77777777" w:rsidR="00EF00A5" w:rsidRDefault="00000000">
      <w:pPr>
        <w:numPr>
          <w:ilvl w:val="0"/>
          <w:numId w:val="3"/>
        </w:numPr>
        <w:pBdr>
          <w:top w:val="nil"/>
          <w:left w:val="nil"/>
          <w:bottom w:val="nil"/>
          <w:right w:val="nil"/>
          <w:between w:val="nil"/>
        </w:pBdr>
        <w:spacing w:after="280" w:line="276" w:lineRule="auto"/>
        <w:rPr>
          <w:rFonts w:ascii="Garamond" w:eastAsia="Garamond" w:hAnsi="Garamond" w:cs="Garamond"/>
          <w:color w:val="000000"/>
          <w:sz w:val="24"/>
          <w:szCs w:val="24"/>
        </w:rPr>
      </w:pPr>
      <w:r>
        <w:rPr>
          <w:rFonts w:ascii="Garamond" w:eastAsia="Garamond" w:hAnsi="Garamond" w:cs="Garamond"/>
          <w:color w:val="000000"/>
          <w:sz w:val="24"/>
          <w:szCs w:val="24"/>
        </w:rPr>
        <w:t>Cross validating results with alternative performance indicators such as market capitalization growth.</w:t>
      </w:r>
    </w:p>
    <w:p w14:paraId="5DDA6C25" w14:textId="77777777" w:rsidR="009D487D" w:rsidRDefault="009D487D">
      <w:pPr>
        <w:pBdr>
          <w:top w:val="nil"/>
          <w:left w:val="nil"/>
          <w:bottom w:val="nil"/>
          <w:right w:val="nil"/>
          <w:between w:val="nil"/>
        </w:pBdr>
        <w:spacing w:before="280" w:after="280" w:line="276" w:lineRule="auto"/>
        <w:rPr>
          <w:rFonts w:ascii="Garamond" w:eastAsia="Garamond" w:hAnsi="Garamond" w:cs="Garamond"/>
          <w:b/>
          <w:color w:val="000000"/>
          <w:sz w:val="24"/>
          <w:szCs w:val="24"/>
        </w:rPr>
      </w:pPr>
    </w:p>
    <w:p w14:paraId="75D95E94" w14:textId="343E8754" w:rsidR="00EF00A5" w:rsidRDefault="00000000">
      <w:pPr>
        <w:pBdr>
          <w:top w:val="nil"/>
          <w:left w:val="nil"/>
          <w:bottom w:val="nil"/>
          <w:right w:val="nil"/>
          <w:between w:val="nil"/>
        </w:pBdr>
        <w:spacing w:before="280" w:after="280" w:line="276" w:lineRule="auto"/>
        <w:rPr>
          <w:rFonts w:ascii="Garamond" w:eastAsia="Garamond" w:hAnsi="Garamond" w:cs="Garamond"/>
          <w:color w:val="000000"/>
          <w:sz w:val="24"/>
          <w:szCs w:val="24"/>
        </w:rPr>
      </w:pPr>
      <w:r>
        <w:rPr>
          <w:rFonts w:ascii="Garamond" w:eastAsia="Garamond" w:hAnsi="Garamond" w:cs="Garamond"/>
          <w:b/>
          <w:color w:val="000000"/>
          <w:sz w:val="24"/>
          <w:szCs w:val="24"/>
        </w:rPr>
        <w:t>Ethical Considerations</w:t>
      </w:r>
    </w:p>
    <w:p w14:paraId="2F0E583D" w14:textId="77777777" w:rsidR="00EF00A5" w:rsidRDefault="00000000">
      <w:pPr>
        <w:pBdr>
          <w:top w:val="nil"/>
          <w:left w:val="nil"/>
          <w:bottom w:val="nil"/>
          <w:right w:val="nil"/>
          <w:between w:val="nil"/>
        </w:pBdr>
        <w:spacing w:before="280" w:after="280" w:line="276" w:lineRule="auto"/>
        <w:rPr>
          <w:rFonts w:ascii="Garamond" w:eastAsia="Garamond" w:hAnsi="Garamond" w:cs="Garamond"/>
          <w:color w:val="000000"/>
          <w:sz w:val="24"/>
          <w:szCs w:val="24"/>
        </w:rPr>
      </w:pPr>
      <w:r>
        <w:rPr>
          <w:rFonts w:ascii="Garamond" w:eastAsia="Garamond" w:hAnsi="Garamond" w:cs="Garamond"/>
          <w:color w:val="000000"/>
          <w:sz w:val="24"/>
          <w:szCs w:val="24"/>
        </w:rPr>
        <w:t xml:space="preserve">The study exclusively used publicly available secondary data, ensuring adherence to ethical research standards and avoiding any breach of confidentiality. All sources were transparently cited, and data usage complied with the terms and conditions of the respective data providers. </w:t>
      </w:r>
    </w:p>
    <w:p w14:paraId="545BFB65" w14:textId="77777777" w:rsidR="00EF00A5" w:rsidRDefault="00EF00A5">
      <w:pPr>
        <w:pBdr>
          <w:top w:val="nil"/>
          <w:left w:val="nil"/>
          <w:bottom w:val="nil"/>
          <w:right w:val="nil"/>
          <w:between w:val="nil"/>
        </w:pBdr>
        <w:spacing w:before="280" w:after="280" w:line="276" w:lineRule="auto"/>
        <w:rPr>
          <w:rFonts w:ascii="Garamond" w:eastAsia="Garamond" w:hAnsi="Garamond" w:cs="Garamond"/>
          <w:b/>
          <w:color w:val="000000"/>
          <w:sz w:val="24"/>
          <w:szCs w:val="24"/>
        </w:rPr>
      </w:pPr>
    </w:p>
    <w:p w14:paraId="67C8265C" w14:textId="77777777" w:rsidR="00EF00A5" w:rsidRDefault="00000000">
      <w:pPr>
        <w:pStyle w:val="Heading1"/>
        <w:spacing w:before="0" w:after="240" w:line="276" w:lineRule="auto"/>
        <w:rPr>
          <w:rFonts w:ascii="Garamond" w:eastAsia="Garamond" w:hAnsi="Garamond" w:cs="Garamond"/>
          <w:b/>
          <w:color w:val="000000"/>
          <w:sz w:val="24"/>
          <w:szCs w:val="24"/>
        </w:rPr>
      </w:pPr>
      <w:r>
        <w:rPr>
          <w:rFonts w:ascii="Garamond" w:eastAsia="Garamond" w:hAnsi="Garamond" w:cs="Garamond"/>
          <w:b/>
          <w:color w:val="000000"/>
          <w:sz w:val="24"/>
          <w:szCs w:val="24"/>
        </w:rPr>
        <w:t>RESULT AND DISCUSSION</w:t>
      </w:r>
    </w:p>
    <w:p w14:paraId="04747B01" w14:textId="31809E85" w:rsidR="00EF00A5" w:rsidRDefault="00000000">
      <w:pPr>
        <w:spacing w:line="276" w:lineRule="auto"/>
        <w:jc w:val="both"/>
        <w:rPr>
          <w:rFonts w:ascii="Garamond" w:eastAsia="Garamond" w:hAnsi="Garamond" w:cs="Garamond"/>
          <w:sz w:val="24"/>
          <w:szCs w:val="24"/>
        </w:rPr>
      </w:pPr>
      <w:r>
        <w:rPr>
          <w:rFonts w:ascii="Garamond" w:eastAsia="Garamond" w:hAnsi="Garamond" w:cs="Garamond"/>
          <w:b/>
          <w:sz w:val="24"/>
          <w:szCs w:val="24"/>
        </w:rPr>
        <w:t>Interaction between Digital Transformation and Green Technology Adoption</w:t>
      </w:r>
    </w:p>
    <w:p w14:paraId="039F9834" w14:textId="77777777" w:rsidR="00EF00A5"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The results confirm that digital transformation significantly enhances the effectiveness of green technology adoption. Consistent with the Resource-Based View (RBV), firms with higher digital maturity exhibit stronger innovation capacity and environmental performance (Sun &amp; He, 2023). These findings align with dynamic capabilities theory, showing that digital investments enable firms to adapt faster and integrate sustainability into core strategies. Thus, the study empirically validates that digital tools act not only as operational enhancers but also as strategic resources for achieving sustainability objectives.</w:t>
      </w:r>
    </w:p>
    <w:p w14:paraId="1C9EB745" w14:textId="6C05FB40" w:rsidR="00EF00A5" w:rsidRDefault="00000000" w:rsidP="009D487D">
      <w:pPr>
        <w:spacing w:line="276" w:lineRule="auto"/>
        <w:jc w:val="center"/>
        <w:rPr>
          <w:rFonts w:ascii="Garamond" w:eastAsia="Garamond" w:hAnsi="Garamond" w:cs="Garamond"/>
          <w:sz w:val="24"/>
          <w:szCs w:val="24"/>
        </w:rPr>
      </w:pPr>
      <w:r>
        <w:rPr>
          <w:rFonts w:ascii="Garamond" w:eastAsia="Garamond" w:hAnsi="Garamond" w:cs="Garamond"/>
          <w:b/>
          <w:sz w:val="24"/>
          <w:szCs w:val="24"/>
        </w:rPr>
        <w:t>Table 1   Comparative ESG Improvements by Digital Maturity</w:t>
      </w:r>
    </w:p>
    <w:tbl>
      <w:tblPr>
        <w:tblStyle w:val="PlainTable2"/>
        <w:tblW w:w="4656" w:type="dxa"/>
        <w:tblInd w:w="2268" w:type="dxa"/>
        <w:tblLayout w:type="fixed"/>
        <w:tblLook w:val="0400" w:firstRow="0" w:lastRow="0" w:firstColumn="0" w:lastColumn="0" w:noHBand="0" w:noVBand="1"/>
      </w:tblPr>
      <w:tblGrid>
        <w:gridCol w:w="2285"/>
        <w:gridCol w:w="2371"/>
      </w:tblGrid>
      <w:tr w:rsidR="00EF00A5" w14:paraId="42CDFDDF" w14:textId="77777777" w:rsidTr="009D487D">
        <w:trPr>
          <w:cnfStyle w:val="000000100000" w:firstRow="0" w:lastRow="0" w:firstColumn="0" w:lastColumn="0" w:oddVBand="0" w:evenVBand="0" w:oddHBand="1" w:evenHBand="0" w:firstRowFirstColumn="0" w:firstRowLastColumn="0" w:lastRowFirstColumn="0" w:lastRowLastColumn="0"/>
        </w:trPr>
        <w:tc>
          <w:tcPr>
            <w:tcW w:w="2285" w:type="dxa"/>
          </w:tcPr>
          <w:p w14:paraId="0FE98446" w14:textId="77777777" w:rsidR="00EF00A5" w:rsidRDefault="00000000">
            <w:pPr>
              <w:spacing w:line="276" w:lineRule="auto"/>
              <w:jc w:val="both"/>
              <w:rPr>
                <w:rFonts w:ascii="Garamond" w:eastAsia="Garamond" w:hAnsi="Garamond" w:cs="Garamond"/>
                <w:b/>
                <w:sz w:val="24"/>
                <w:szCs w:val="24"/>
              </w:rPr>
            </w:pPr>
            <w:r>
              <w:rPr>
                <w:rFonts w:ascii="Garamond" w:eastAsia="Garamond" w:hAnsi="Garamond" w:cs="Garamond"/>
                <w:b/>
                <w:sz w:val="24"/>
                <w:szCs w:val="24"/>
              </w:rPr>
              <w:t>Digital Maturity Level</w:t>
            </w:r>
          </w:p>
        </w:tc>
        <w:tc>
          <w:tcPr>
            <w:tcW w:w="2371" w:type="dxa"/>
          </w:tcPr>
          <w:p w14:paraId="0C84195F" w14:textId="77777777" w:rsidR="00EF00A5" w:rsidRDefault="00000000">
            <w:pPr>
              <w:spacing w:line="276" w:lineRule="auto"/>
              <w:jc w:val="both"/>
              <w:rPr>
                <w:rFonts w:ascii="Garamond" w:eastAsia="Garamond" w:hAnsi="Garamond" w:cs="Garamond"/>
                <w:b/>
                <w:sz w:val="24"/>
                <w:szCs w:val="24"/>
              </w:rPr>
            </w:pPr>
            <w:r>
              <w:rPr>
                <w:rFonts w:ascii="Garamond" w:eastAsia="Garamond" w:hAnsi="Garamond" w:cs="Garamond"/>
                <w:b/>
                <w:sz w:val="24"/>
                <w:szCs w:val="24"/>
              </w:rPr>
              <w:t>ESG Improvement (%)</w:t>
            </w:r>
          </w:p>
        </w:tc>
      </w:tr>
      <w:tr w:rsidR="00EF00A5" w14:paraId="574E396D" w14:textId="77777777" w:rsidTr="009D487D">
        <w:tc>
          <w:tcPr>
            <w:tcW w:w="2285" w:type="dxa"/>
          </w:tcPr>
          <w:p w14:paraId="73911BDD" w14:textId="77777777" w:rsidR="00EF00A5"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High</w:t>
            </w:r>
          </w:p>
        </w:tc>
        <w:tc>
          <w:tcPr>
            <w:tcW w:w="2371" w:type="dxa"/>
          </w:tcPr>
          <w:p w14:paraId="20E6F4E8" w14:textId="77777777" w:rsidR="00EF00A5"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15–25</w:t>
            </w:r>
          </w:p>
        </w:tc>
      </w:tr>
      <w:tr w:rsidR="00EF00A5" w14:paraId="235566C3" w14:textId="77777777" w:rsidTr="009D487D">
        <w:trPr>
          <w:cnfStyle w:val="000000100000" w:firstRow="0" w:lastRow="0" w:firstColumn="0" w:lastColumn="0" w:oddVBand="0" w:evenVBand="0" w:oddHBand="1" w:evenHBand="0" w:firstRowFirstColumn="0" w:firstRowLastColumn="0" w:lastRowFirstColumn="0" w:lastRowLastColumn="0"/>
        </w:trPr>
        <w:tc>
          <w:tcPr>
            <w:tcW w:w="2285" w:type="dxa"/>
          </w:tcPr>
          <w:p w14:paraId="6EFDFFEF" w14:textId="77777777" w:rsidR="00EF00A5"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Low</w:t>
            </w:r>
          </w:p>
        </w:tc>
        <w:tc>
          <w:tcPr>
            <w:tcW w:w="2371" w:type="dxa"/>
          </w:tcPr>
          <w:p w14:paraId="21505EE6" w14:textId="77777777" w:rsidR="00EF00A5"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5–10</w:t>
            </w:r>
          </w:p>
        </w:tc>
      </w:tr>
    </w:tbl>
    <w:p w14:paraId="1E540C13" w14:textId="77777777" w:rsidR="00EF00A5"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lastRenderedPageBreak/>
        <w:t>Firms with high digital maturity exhibit considerably greater ESG performance improvements than those with lower maturity levels. Su et al. (2023) find that integrating digital tools into operations leads to significant environmental profile improvements, reflected in higher ESG ratings.</w:t>
      </w:r>
    </w:p>
    <w:p w14:paraId="19600873" w14:textId="4B0C1557" w:rsidR="00EF00A5" w:rsidRDefault="00000000" w:rsidP="009D487D">
      <w:pPr>
        <w:spacing w:line="276" w:lineRule="auto"/>
        <w:jc w:val="center"/>
        <w:rPr>
          <w:rFonts w:ascii="Garamond" w:eastAsia="Garamond" w:hAnsi="Garamond" w:cs="Garamond"/>
          <w:sz w:val="24"/>
          <w:szCs w:val="24"/>
        </w:rPr>
      </w:pPr>
      <w:r>
        <w:rPr>
          <w:rFonts w:ascii="Garamond" w:eastAsia="Garamond" w:hAnsi="Garamond" w:cs="Garamond"/>
          <w:b/>
          <w:sz w:val="24"/>
          <w:szCs w:val="24"/>
        </w:rPr>
        <w:t>Table 2   Typical Emissions Intensity Reductions with Digital Supported Green Tech</w:t>
      </w:r>
    </w:p>
    <w:tbl>
      <w:tblPr>
        <w:tblStyle w:val="PlainTable2"/>
        <w:tblW w:w="4438" w:type="dxa"/>
        <w:tblInd w:w="3119" w:type="dxa"/>
        <w:tblLayout w:type="fixed"/>
        <w:tblLook w:val="0400" w:firstRow="0" w:lastRow="0" w:firstColumn="0" w:lastColumn="0" w:noHBand="0" w:noVBand="1"/>
      </w:tblPr>
      <w:tblGrid>
        <w:gridCol w:w="2040"/>
        <w:gridCol w:w="2398"/>
      </w:tblGrid>
      <w:tr w:rsidR="00EF00A5" w14:paraId="5A21A447" w14:textId="77777777" w:rsidTr="009D487D">
        <w:trPr>
          <w:cnfStyle w:val="000000100000" w:firstRow="0" w:lastRow="0" w:firstColumn="0" w:lastColumn="0" w:oddVBand="0" w:evenVBand="0" w:oddHBand="1" w:evenHBand="0" w:firstRowFirstColumn="0" w:firstRowLastColumn="0" w:lastRowFirstColumn="0" w:lastRowLastColumn="0"/>
        </w:trPr>
        <w:tc>
          <w:tcPr>
            <w:tcW w:w="2040" w:type="dxa"/>
          </w:tcPr>
          <w:p w14:paraId="1430EB90" w14:textId="77777777" w:rsidR="00EF00A5" w:rsidRDefault="00000000">
            <w:pPr>
              <w:spacing w:line="276" w:lineRule="auto"/>
              <w:jc w:val="both"/>
              <w:rPr>
                <w:rFonts w:ascii="Garamond" w:eastAsia="Garamond" w:hAnsi="Garamond" w:cs="Garamond"/>
                <w:b/>
                <w:sz w:val="24"/>
                <w:szCs w:val="24"/>
              </w:rPr>
            </w:pPr>
            <w:r>
              <w:rPr>
                <w:rFonts w:ascii="Garamond" w:eastAsia="Garamond" w:hAnsi="Garamond" w:cs="Garamond"/>
                <w:b/>
                <w:sz w:val="24"/>
                <w:szCs w:val="24"/>
              </w:rPr>
              <w:t>Sector</w:t>
            </w:r>
          </w:p>
        </w:tc>
        <w:tc>
          <w:tcPr>
            <w:tcW w:w="2398" w:type="dxa"/>
          </w:tcPr>
          <w:p w14:paraId="33C9A73D" w14:textId="77777777" w:rsidR="00EF00A5" w:rsidRDefault="00000000">
            <w:pPr>
              <w:spacing w:line="276" w:lineRule="auto"/>
              <w:jc w:val="both"/>
              <w:rPr>
                <w:rFonts w:ascii="Garamond" w:eastAsia="Garamond" w:hAnsi="Garamond" w:cs="Garamond"/>
                <w:b/>
                <w:sz w:val="24"/>
                <w:szCs w:val="24"/>
              </w:rPr>
            </w:pPr>
            <w:r>
              <w:rPr>
                <w:rFonts w:ascii="Garamond" w:eastAsia="Garamond" w:hAnsi="Garamond" w:cs="Garamond"/>
                <w:b/>
                <w:sz w:val="24"/>
                <w:szCs w:val="24"/>
              </w:rPr>
              <w:t>Average Reduction (%)</w:t>
            </w:r>
          </w:p>
        </w:tc>
      </w:tr>
      <w:tr w:rsidR="00EF00A5" w14:paraId="6015CBD3" w14:textId="77777777" w:rsidTr="009D487D">
        <w:tc>
          <w:tcPr>
            <w:tcW w:w="2040" w:type="dxa"/>
          </w:tcPr>
          <w:p w14:paraId="57A81ED1" w14:textId="77777777" w:rsidR="00EF00A5"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Energy Intensive</w:t>
            </w:r>
          </w:p>
        </w:tc>
        <w:tc>
          <w:tcPr>
            <w:tcW w:w="2398" w:type="dxa"/>
          </w:tcPr>
          <w:p w14:paraId="67B32EC3" w14:textId="77777777" w:rsidR="00EF00A5"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~30</w:t>
            </w:r>
          </w:p>
        </w:tc>
      </w:tr>
      <w:tr w:rsidR="00EF00A5" w14:paraId="55513F84" w14:textId="77777777" w:rsidTr="009D487D">
        <w:trPr>
          <w:cnfStyle w:val="000000100000" w:firstRow="0" w:lastRow="0" w:firstColumn="0" w:lastColumn="0" w:oddVBand="0" w:evenVBand="0" w:oddHBand="1" w:evenHBand="0" w:firstRowFirstColumn="0" w:firstRowLastColumn="0" w:lastRowFirstColumn="0" w:lastRowLastColumn="0"/>
        </w:trPr>
        <w:tc>
          <w:tcPr>
            <w:tcW w:w="2040" w:type="dxa"/>
          </w:tcPr>
          <w:p w14:paraId="3F394774" w14:textId="77777777" w:rsidR="00EF00A5"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Mixed Manufacturing</w:t>
            </w:r>
          </w:p>
        </w:tc>
        <w:tc>
          <w:tcPr>
            <w:tcW w:w="2398" w:type="dxa"/>
          </w:tcPr>
          <w:p w14:paraId="1376F2E7" w14:textId="77777777" w:rsidR="00EF00A5"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20–25</w:t>
            </w:r>
          </w:p>
        </w:tc>
      </w:tr>
      <w:tr w:rsidR="00EF00A5" w14:paraId="5CCE87B9" w14:textId="77777777" w:rsidTr="009D487D">
        <w:tc>
          <w:tcPr>
            <w:tcW w:w="2040" w:type="dxa"/>
          </w:tcPr>
          <w:p w14:paraId="28FE7C41" w14:textId="77777777" w:rsidR="00EF00A5"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Renewable Energy</w:t>
            </w:r>
          </w:p>
        </w:tc>
        <w:tc>
          <w:tcPr>
            <w:tcW w:w="2398" w:type="dxa"/>
          </w:tcPr>
          <w:p w14:paraId="45F18029" w14:textId="77777777" w:rsidR="00EF00A5"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35–40</w:t>
            </w:r>
          </w:p>
        </w:tc>
      </w:tr>
    </w:tbl>
    <w:p w14:paraId="7A39B472" w14:textId="4F686D3F" w:rsidR="00EF00A5"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Table 2 indicates that emission intensity reductions vary across industries, ranging from ~30% in energy-intensive sectors to 35–40% in renewable energy firms. These results are consistent with Tang et al. (2023), who argue that sectoral conditions and regulatory environments shape the effectiveness of digital–green synergies. The findings suggest that industry-specific pathways are essential for achieving optimal sustainability outcomes.</w:t>
      </w:r>
    </w:p>
    <w:p w14:paraId="670F5253" w14:textId="77777777" w:rsidR="009D487D" w:rsidRDefault="009D487D">
      <w:pPr>
        <w:spacing w:line="276" w:lineRule="auto"/>
        <w:jc w:val="both"/>
        <w:rPr>
          <w:rFonts w:ascii="Garamond" w:eastAsia="Garamond" w:hAnsi="Garamond" w:cs="Garamond"/>
          <w:b/>
          <w:sz w:val="24"/>
          <w:szCs w:val="24"/>
        </w:rPr>
      </w:pPr>
    </w:p>
    <w:p w14:paraId="12CC7D5E" w14:textId="088B6787" w:rsidR="00EF00A5" w:rsidRDefault="00000000">
      <w:pPr>
        <w:spacing w:line="276" w:lineRule="auto"/>
        <w:jc w:val="both"/>
        <w:rPr>
          <w:rFonts w:ascii="Garamond" w:eastAsia="Garamond" w:hAnsi="Garamond" w:cs="Garamond"/>
          <w:sz w:val="24"/>
          <w:szCs w:val="24"/>
        </w:rPr>
      </w:pPr>
      <w:r>
        <w:rPr>
          <w:rFonts w:ascii="Garamond" w:eastAsia="Garamond" w:hAnsi="Garamond" w:cs="Garamond"/>
          <w:b/>
          <w:sz w:val="24"/>
          <w:szCs w:val="24"/>
        </w:rPr>
        <w:t>Event Study Analysis</w:t>
      </w:r>
    </w:p>
    <w:p w14:paraId="49F22DAE" w14:textId="77777777" w:rsidR="00EF00A5"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Event study results (Table 3.3) show that ESG scores increase by 8.3 points post adoption, accompanied by reductions in emissions intensity and modest financial improvements (ROA +0.9%). These findings support Liu et al. (2023), who found positive market reactions to ESG disclosures. However, consistent with Peng et al. (2023), financial gains take longer to materialize, underscoring a temporal gap between environmental improvements and economic returns. This indicates the importance of long-term evaluation in sustainability strategies.</w:t>
      </w:r>
    </w:p>
    <w:p w14:paraId="6ACF3E54" w14:textId="384CA676" w:rsidR="00EF00A5" w:rsidRDefault="00000000" w:rsidP="009D487D">
      <w:pPr>
        <w:spacing w:line="276" w:lineRule="auto"/>
        <w:jc w:val="center"/>
        <w:rPr>
          <w:rFonts w:ascii="Garamond" w:eastAsia="Garamond" w:hAnsi="Garamond" w:cs="Garamond"/>
          <w:sz w:val="24"/>
          <w:szCs w:val="24"/>
        </w:rPr>
      </w:pPr>
      <w:r>
        <w:rPr>
          <w:rFonts w:ascii="Garamond" w:eastAsia="Garamond" w:hAnsi="Garamond" w:cs="Garamond"/>
          <w:b/>
          <w:sz w:val="24"/>
          <w:szCs w:val="24"/>
        </w:rPr>
        <w:t>Table</w:t>
      </w:r>
      <w:r w:rsidR="009D487D">
        <w:rPr>
          <w:rFonts w:ascii="Garamond" w:eastAsia="Garamond" w:hAnsi="Garamond" w:cs="Garamond"/>
          <w:b/>
          <w:sz w:val="24"/>
          <w:szCs w:val="24"/>
        </w:rPr>
        <w:t xml:space="preserve"> 3. </w:t>
      </w:r>
      <w:r>
        <w:rPr>
          <w:rFonts w:ascii="Garamond" w:eastAsia="Garamond" w:hAnsi="Garamond" w:cs="Garamond"/>
          <w:b/>
          <w:sz w:val="24"/>
          <w:szCs w:val="24"/>
        </w:rPr>
        <w:t xml:space="preserve">Performance Changes </w:t>
      </w:r>
      <w:proofErr w:type="gramStart"/>
      <w:r>
        <w:rPr>
          <w:rFonts w:ascii="Garamond" w:eastAsia="Garamond" w:hAnsi="Garamond" w:cs="Garamond"/>
          <w:b/>
          <w:sz w:val="24"/>
          <w:szCs w:val="24"/>
        </w:rPr>
        <w:t>Pre  and</w:t>
      </w:r>
      <w:proofErr w:type="gramEnd"/>
      <w:r>
        <w:rPr>
          <w:rFonts w:ascii="Garamond" w:eastAsia="Garamond" w:hAnsi="Garamond" w:cs="Garamond"/>
          <w:b/>
          <w:sz w:val="24"/>
          <w:szCs w:val="24"/>
        </w:rPr>
        <w:t xml:space="preserve"> Post Adoption</w:t>
      </w:r>
    </w:p>
    <w:tbl>
      <w:tblPr>
        <w:tblStyle w:val="PlainTable2"/>
        <w:tblW w:w="5546" w:type="dxa"/>
        <w:tblInd w:w="1843" w:type="dxa"/>
        <w:tblLayout w:type="fixed"/>
        <w:tblLook w:val="0400" w:firstRow="0" w:lastRow="0" w:firstColumn="0" w:lastColumn="0" w:noHBand="0" w:noVBand="1"/>
      </w:tblPr>
      <w:tblGrid>
        <w:gridCol w:w="1863"/>
        <w:gridCol w:w="1381"/>
        <w:gridCol w:w="1486"/>
        <w:gridCol w:w="816"/>
      </w:tblGrid>
      <w:tr w:rsidR="00EF00A5" w14:paraId="42AEBFE1" w14:textId="77777777" w:rsidTr="009D487D">
        <w:trPr>
          <w:cnfStyle w:val="000000100000" w:firstRow="0" w:lastRow="0" w:firstColumn="0" w:lastColumn="0" w:oddVBand="0" w:evenVBand="0" w:oddHBand="1" w:evenHBand="0" w:firstRowFirstColumn="0" w:firstRowLastColumn="0" w:lastRowFirstColumn="0" w:lastRowLastColumn="0"/>
        </w:trPr>
        <w:tc>
          <w:tcPr>
            <w:tcW w:w="1863" w:type="dxa"/>
          </w:tcPr>
          <w:p w14:paraId="2B971FB7" w14:textId="77777777" w:rsidR="00EF00A5" w:rsidRDefault="00000000">
            <w:pPr>
              <w:spacing w:line="276" w:lineRule="auto"/>
              <w:jc w:val="both"/>
              <w:rPr>
                <w:rFonts w:ascii="Garamond" w:eastAsia="Garamond" w:hAnsi="Garamond" w:cs="Garamond"/>
                <w:b/>
                <w:sz w:val="24"/>
                <w:szCs w:val="24"/>
              </w:rPr>
            </w:pPr>
            <w:r>
              <w:rPr>
                <w:rFonts w:ascii="Garamond" w:eastAsia="Garamond" w:hAnsi="Garamond" w:cs="Garamond"/>
                <w:b/>
                <w:sz w:val="24"/>
                <w:szCs w:val="24"/>
              </w:rPr>
              <w:t>Metric</w:t>
            </w:r>
          </w:p>
        </w:tc>
        <w:tc>
          <w:tcPr>
            <w:tcW w:w="1381" w:type="dxa"/>
          </w:tcPr>
          <w:p w14:paraId="5FA88B6A" w14:textId="77777777" w:rsidR="00EF00A5" w:rsidRDefault="00000000">
            <w:pPr>
              <w:spacing w:line="276" w:lineRule="auto"/>
              <w:jc w:val="both"/>
              <w:rPr>
                <w:rFonts w:ascii="Garamond" w:eastAsia="Garamond" w:hAnsi="Garamond" w:cs="Garamond"/>
                <w:b/>
                <w:sz w:val="24"/>
                <w:szCs w:val="24"/>
              </w:rPr>
            </w:pPr>
            <w:r>
              <w:rPr>
                <w:rFonts w:ascii="Garamond" w:eastAsia="Garamond" w:hAnsi="Garamond" w:cs="Garamond"/>
                <w:b/>
                <w:sz w:val="24"/>
                <w:szCs w:val="24"/>
              </w:rPr>
              <w:t>Pre Adoption</w:t>
            </w:r>
          </w:p>
        </w:tc>
        <w:tc>
          <w:tcPr>
            <w:tcW w:w="1486" w:type="dxa"/>
          </w:tcPr>
          <w:p w14:paraId="5FF95CD7" w14:textId="77777777" w:rsidR="00EF00A5" w:rsidRDefault="00000000">
            <w:pPr>
              <w:spacing w:line="276" w:lineRule="auto"/>
              <w:jc w:val="both"/>
              <w:rPr>
                <w:rFonts w:ascii="Garamond" w:eastAsia="Garamond" w:hAnsi="Garamond" w:cs="Garamond"/>
                <w:b/>
                <w:sz w:val="24"/>
                <w:szCs w:val="24"/>
              </w:rPr>
            </w:pPr>
            <w:r>
              <w:rPr>
                <w:rFonts w:ascii="Garamond" w:eastAsia="Garamond" w:hAnsi="Garamond" w:cs="Garamond"/>
                <w:b/>
                <w:sz w:val="24"/>
                <w:szCs w:val="24"/>
              </w:rPr>
              <w:t>Post Adoption</w:t>
            </w:r>
          </w:p>
        </w:tc>
        <w:tc>
          <w:tcPr>
            <w:tcW w:w="816" w:type="dxa"/>
          </w:tcPr>
          <w:p w14:paraId="7C6B7D31" w14:textId="77777777" w:rsidR="00EF00A5" w:rsidRDefault="00000000">
            <w:pPr>
              <w:spacing w:line="276" w:lineRule="auto"/>
              <w:jc w:val="both"/>
              <w:rPr>
                <w:rFonts w:ascii="Garamond" w:eastAsia="Garamond" w:hAnsi="Garamond" w:cs="Garamond"/>
                <w:b/>
                <w:sz w:val="24"/>
                <w:szCs w:val="24"/>
              </w:rPr>
            </w:pPr>
            <w:r>
              <w:rPr>
                <w:rFonts w:ascii="Garamond" w:eastAsia="Garamond" w:hAnsi="Garamond" w:cs="Garamond"/>
                <w:b/>
                <w:sz w:val="24"/>
                <w:szCs w:val="24"/>
              </w:rPr>
              <w:t>Change</w:t>
            </w:r>
          </w:p>
        </w:tc>
      </w:tr>
      <w:tr w:rsidR="00EF00A5" w14:paraId="20917356" w14:textId="77777777" w:rsidTr="009D487D">
        <w:tc>
          <w:tcPr>
            <w:tcW w:w="1863" w:type="dxa"/>
          </w:tcPr>
          <w:p w14:paraId="4503F6FA" w14:textId="77777777" w:rsidR="00EF00A5"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Emissions Intensity</w:t>
            </w:r>
          </w:p>
        </w:tc>
        <w:tc>
          <w:tcPr>
            <w:tcW w:w="1381" w:type="dxa"/>
          </w:tcPr>
          <w:p w14:paraId="44269F4D" w14:textId="77777777" w:rsidR="00EF00A5"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0.88</w:t>
            </w:r>
          </w:p>
        </w:tc>
        <w:tc>
          <w:tcPr>
            <w:tcW w:w="1486" w:type="dxa"/>
          </w:tcPr>
          <w:p w14:paraId="18BA1595" w14:textId="77777777" w:rsidR="00EF00A5"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0.72</w:t>
            </w:r>
          </w:p>
        </w:tc>
        <w:tc>
          <w:tcPr>
            <w:tcW w:w="816" w:type="dxa"/>
          </w:tcPr>
          <w:p w14:paraId="35DAA8FB" w14:textId="77777777" w:rsidR="00EF00A5"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0.16</w:t>
            </w:r>
          </w:p>
        </w:tc>
      </w:tr>
      <w:tr w:rsidR="00EF00A5" w14:paraId="1B1A3028" w14:textId="77777777" w:rsidTr="009D487D">
        <w:trPr>
          <w:cnfStyle w:val="000000100000" w:firstRow="0" w:lastRow="0" w:firstColumn="0" w:lastColumn="0" w:oddVBand="0" w:evenVBand="0" w:oddHBand="1" w:evenHBand="0" w:firstRowFirstColumn="0" w:firstRowLastColumn="0" w:lastRowFirstColumn="0" w:lastRowLastColumn="0"/>
        </w:trPr>
        <w:tc>
          <w:tcPr>
            <w:tcW w:w="1863" w:type="dxa"/>
          </w:tcPr>
          <w:p w14:paraId="07026F08" w14:textId="77777777" w:rsidR="00EF00A5"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ESG Score</w:t>
            </w:r>
          </w:p>
        </w:tc>
        <w:tc>
          <w:tcPr>
            <w:tcW w:w="1381" w:type="dxa"/>
          </w:tcPr>
          <w:p w14:paraId="036A2FA5" w14:textId="77777777" w:rsidR="00EF00A5"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58.6</w:t>
            </w:r>
          </w:p>
        </w:tc>
        <w:tc>
          <w:tcPr>
            <w:tcW w:w="1486" w:type="dxa"/>
          </w:tcPr>
          <w:p w14:paraId="1BB28717" w14:textId="77777777" w:rsidR="00EF00A5"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66.9</w:t>
            </w:r>
          </w:p>
        </w:tc>
        <w:tc>
          <w:tcPr>
            <w:tcW w:w="816" w:type="dxa"/>
          </w:tcPr>
          <w:p w14:paraId="2AF52F09" w14:textId="77777777" w:rsidR="00EF00A5"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+8.3</w:t>
            </w:r>
          </w:p>
        </w:tc>
      </w:tr>
      <w:tr w:rsidR="00EF00A5" w14:paraId="2628D957" w14:textId="77777777" w:rsidTr="009D487D">
        <w:tc>
          <w:tcPr>
            <w:tcW w:w="1863" w:type="dxa"/>
          </w:tcPr>
          <w:p w14:paraId="56B637BC" w14:textId="77777777" w:rsidR="00EF00A5"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ROA (%)</w:t>
            </w:r>
          </w:p>
        </w:tc>
        <w:tc>
          <w:tcPr>
            <w:tcW w:w="1381" w:type="dxa"/>
          </w:tcPr>
          <w:p w14:paraId="278512E5" w14:textId="77777777" w:rsidR="00EF00A5"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4.2</w:t>
            </w:r>
          </w:p>
        </w:tc>
        <w:tc>
          <w:tcPr>
            <w:tcW w:w="1486" w:type="dxa"/>
          </w:tcPr>
          <w:p w14:paraId="3732AEBD" w14:textId="77777777" w:rsidR="00EF00A5"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5.1</w:t>
            </w:r>
          </w:p>
        </w:tc>
        <w:tc>
          <w:tcPr>
            <w:tcW w:w="816" w:type="dxa"/>
          </w:tcPr>
          <w:p w14:paraId="2E665071" w14:textId="77777777" w:rsidR="00EF00A5"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+0.9</w:t>
            </w:r>
          </w:p>
        </w:tc>
      </w:tr>
    </w:tbl>
    <w:p w14:paraId="0826B3BA" w14:textId="77777777" w:rsidR="00EF00A5"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 xml:space="preserve">Adoption related performance changes differ across metrics. Environmental performance improvements, such as emissions reductions and resource efficiency gains, tend to occur quickly post adoption, while financial metrics like ROI often improve over a </w:t>
      </w:r>
      <w:proofErr w:type="gramStart"/>
      <w:r>
        <w:rPr>
          <w:rFonts w:ascii="Garamond" w:eastAsia="Garamond" w:hAnsi="Garamond" w:cs="Garamond"/>
          <w:sz w:val="24"/>
          <w:szCs w:val="24"/>
        </w:rPr>
        <w:t>three  to</w:t>
      </w:r>
      <w:proofErr w:type="gramEnd"/>
      <w:r>
        <w:rPr>
          <w:rFonts w:ascii="Garamond" w:eastAsia="Garamond" w:hAnsi="Garamond" w:cs="Garamond"/>
          <w:sz w:val="24"/>
          <w:szCs w:val="24"/>
        </w:rPr>
        <w:t xml:space="preserve"> five year horizon (Peng et al., 2023). Sun </w:t>
      </w:r>
      <w:proofErr w:type="gramStart"/>
      <w:r>
        <w:rPr>
          <w:rFonts w:ascii="Garamond" w:eastAsia="Garamond" w:hAnsi="Garamond" w:cs="Garamond"/>
          <w:sz w:val="24"/>
          <w:szCs w:val="24"/>
        </w:rPr>
        <w:t>and  He</w:t>
      </w:r>
      <w:proofErr w:type="gramEnd"/>
      <w:r>
        <w:rPr>
          <w:rFonts w:ascii="Garamond" w:eastAsia="Garamond" w:hAnsi="Garamond" w:cs="Garamond"/>
          <w:sz w:val="24"/>
          <w:szCs w:val="24"/>
        </w:rPr>
        <w:t xml:space="preserve"> (2023) highlight that aligning short term operational gains with long term financial benefits remains a challenge.</w:t>
      </w:r>
    </w:p>
    <w:p w14:paraId="4FC9A73C" w14:textId="77777777" w:rsidR="00EF00A5"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External policy changes can significantly affect adoption outcomes. Philbin et al. (2022) show that subsidies, tax incentives, and regulatory pressure drive immediate ESG improvements post adoption.</w:t>
      </w:r>
    </w:p>
    <w:p w14:paraId="06217946" w14:textId="77777777" w:rsidR="00EF00A5"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lastRenderedPageBreak/>
        <w:t>Benchmarking ESG improvements in emerging markets requires localized context. Gholami (2024) notes that ESG score increases may reflect foundational governance and compliance improvements rather than advanced technological shifts.</w:t>
      </w:r>
    </w:p>
    <w:p w14:paraId="67A09BB2" w14:textId="77777777" w:rsidR="009D487D" w:rsidRDefault="009D487D">
      <w:pPr>
        <w:spacing w:line="276" w:lineRule="auto"/>
        <w:jc w:val="both"/>
        <w:rPr>
          <w:rFonts w:ascii="Garamond" w:eastAsia="Garamond" w:hAnsi="Garamond" w:cs="Garamond"/>
          <w:b/>
          <w:sz w:val="24"/>
          <w:szCs w:val="24"/>
        </w:rPr>
      </w:pPr>
    </w:p>
    <w:p w14:paraId="4D36290D" w14:textId="2090A1EC" w:rsidR="00EF00A5" w:rsidRDefault="00000000">
      <w:pPr>
        <w:spacing w:line="276" w:lineRule="auto"/>
        <w:jc w:val="both"/>
        <w:rPr>
          <w:rFonts w:ascii="Garamond" w:eastAsia="Garamond" w:hAnsi="Garamond" w:cs="Garamond"/>
          <w:sz w:val="24"/>
          <w:szCs w:val="24"/>
        </w:rPr>
      </w:pPr>
      <w:r>
        <w:rPr>
          <w:rFonts w:ascii="Garamond" w:eastAsia="Garamond" w:hAnsi="Garamond" w:cs="Garamond"/>
          <w:b/>
          <w:sz w:val="24"/>
          <w:szCs w:val="24"/>
        </w:rPr>
        <w:t>Digital Components and Energy Efficiency</w:t>
      </w:r>
    </w:p>
    <w:p w14:paraId="31D1C186" w14:textId="77777777" w:rsidR="00EF00A5"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AI and IoT integration are strongly linked to measurable energy efficiency gains. Hao et al. (2025) report up to 30% reductions in energy consumption in energy intensive industries following the adoption of these technologies.</w:t>
      </w:r>
    </w:p>
    <w:p w14:paraId="56F9F770" w14:textId="6DAE8797" w:rsidR="00EF00A5" w:rsidRDefault="00000000" w:rsidP="009D487D">
      <w:pPr>
        <w:spacing w:line="276" w:lineRule="auto"/>
        <w:jc w:val="center"/>
        <w:rPr>
          <w:rFonts w:ascii="Garamond" w:eastAsia="Garamond" w:hAnsi="Garamond" w:cs="Garamond"/>
          <w:sz w:val="24"/>
          <w:szCs w:val="24"/>
        </w:rPr>
      </w:pPr>
      <w:r>
        <w:rPr>
          <w:rFonts w:ascii="Garamond" w:eastAsia="Garamond" w:hAnsi="Garamond" w:cs="Garamond"/>
          <w:b/>
          <w:sz w:val="24"/>
          <w:szCs w:val="24"/>
        </w:rPr>
        <w:t>Table 4   Energy Efficiency Gains from Digital Components</w:t>
      </w:r>
    </w:p>
    <w:tbl>
      <w:tblPr>
        <w:tblStyle w:val="PlainTable2"/>
        <w:tblW w:w="5226" w:type="dxa"/>
        <w:tblInd w:w="1985" w:type="dxa"/>
        <w:tblLayout w:type="fixed"/>
        <w:tblLook w:val="0400" w:firstRow="0" w:lastRow="0" w:firstColumn="0" w:lastColumn="0" w:noHBand="0" w:noVBand="1"/>
      </w:tblPr>
      <w:tblGrid>
        <w:gridCol w:w="2308"/>
        <w:gridCol w:w="2918"/>
      </w:tblGrid>
      <w:tr w:rsidR="00EF00A5" w14:paraId="28CA66DC" w14:textId="77777777" w:rsidTr="009D487D">
        <w:trPr>
          <w:cnfStyle w:val="000000100000" w:firstRow="0" w:lastRow="0" w:firstColumn="0" w:lastColumn="0" w:oddVBand="0" w:evenVBand="0" w:oddHBand="1" w:evenHBand="0" w:firstRowFirstColumn="0" w:firstRowLastColumn="0" w:lastRowFirstColumn="0" w:lastRowLastColumn="0"/>
        </w:trPr>
        <w:tc>
          <w:tcPr>
            <w:tcW w:w="2308" w:type="dxa"/>
          </w:tcPr>
          <w:p w14:paraId="4E9661A6" w14:textId="77777777" w:rsidR="00EF00A5" w:rsidRDefault="00000000">
            <w:pPr>
              <w:spacing w:line="276" w:lineRule="auto"/>
              <w:jc w:val="both"/>
              <w:rPr>
                <w:rFonts w:ascii="Garamond" w:eastAsia="Garamond" w:hAnsi="Garamond" w:cs="Garamond"/>
                <w:b/>
                <w:sz w:val="24"/>
                <w:szCs w:val="24"/>
              </w:rPr>
            </w:pPr>
            <w:r>
              <w:rPr>
                <w:rFonts w:ascii="Garamond" w:eastAsia="Garamond" w:hAnsi="Garamond" w:cs="Garamond"/>
                <w:b/>
                <w:sz w:val="24"/>
                <w:szCs w:val="24"/>
              </w:rPr>
              <w:t>Digital Component</w:t>
            </w:r>
          </w:p>
        </w:tc>
        <w:tc>
          <w:tcPr>
            <w:tcW w:w="2918" w:type="dxa"/>
          </w:tcPr>
          <w:p w14:paraId="7A2CEE99" w14:textId="77777777" w:rsidR="00EF00A5" w:rsidRDefault="00000000">
            <w:pPr>
              <w:spacing w:line="276" w:lineRule="auto"/>
              <w:jc w:val="both"/>
              <w:rPr>
                <w:rFonts w:ascii="Garamond" w:eastAsia="Garamond" w:hAnsi="Garamond" w:cs="Garamond"/>
                <w:b/>
                <w:sz w:val="24"/>
                <w:szCs w:val="24"/>
              </w:rPr>
            </w:pPr>
            <w:r>
              <w:rPr>
                <w:rFonts w:ascii="Garamond" w:eastAsia="Garamond" w:hAnsi="Garamond" w:cs="Garamond"/>
                <w:b/>
                <w:sz w:val="24"/>
                <w:szCs w:val="24"/>
              </w:rPr>
              <w:t>Average Energy Savings (%)</w:t>
            </w:r>
          </w:p>
        </w:tc>
      </w:tr>
      <w:tr w:rsidR="00EF00A5" w14:paraId="71FA0EFD" w14:textId="77777777" w:rsidTr="009D487D">
        <w:tc>
          <w:tcPr>
            <w:tcW w:w="2308" w:type="dxa"/>
          </w:tcPr>
          <w:p w14:paraId="77D8C263" w14:textId="77777777" w:rsidR="00EF00A5"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AI Analytics</w:t>
            </w:r>
          </w:p>
        </w:tc>
        <w:tc>
          <w:tcPr>
            <w:tcW w:w="2918" w:type="dxa"/>
          </w:tcPr>
          <w:p w14:paraId="51A64035" w14:textId="77777777" w:rsidR="00EF00A5"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25–30</w:t>
            </w:r>
          </w:p>
        </w:tc>
      </w:tr>
      <w:tr w:rsidR="00EF00A5" w14:paraId="59083D5A" w14:textId="77777777" w:rsidTr="009D487D">
        <w:trPr>
          <w:cnfStyle w:val="000000100000" w:firstRow="0" w:lastRow="0" w:firstColumn="0" w:lastColumn="0" w:oddVBand="0" w:evenVBand="0" w:oddHBand="1" w:evenHBand="0" w:firstRowFirstColumn="0" w:firstRowLastColumn="0" w:lastRowFirstColumn="0" w:lastRowLastColumn="0"/>
        </w:trPr>
        <w:tc>
          <w:tcPr>
            <w:tcW w:w="2308" w:type="dxa"/>
          </w:tcPr>
          <w:p w14:paraId="211DE2AB" w14:textId="77777777" w:rsidR="00EF00A5"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IoT Monitoring Systems</w:t>
            </w:r>
          </w:p>
        </w:tc>
        <w:tc>
          <w:tcPr>
            <w:tcW w:w="2918" w:type="dxa"/>
          </w:tcPr>
          <w:p w14:paraId="128D7D2F" w14:textId="77777777" w:rsidR="00EF00A5"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20–25</w:t>
            </w:r>
          </w:p>
        </w:tc>
      </w:tr>
      <w:tr w:rsidR="00EF00A5" w14:paraId="6732545B" w14:textId="77777777" w:rsidTr="009D487D">
        <w:tc>
          <w:tcPr>
            <w:tcW w:w="2308" w:type="dxa"/>
          </w:tcPr>
          <w:p w14:paraId="2C269843" w14:textId="77777777" w:rsidR="00EF00A5"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ERP–ESG Integration</w:t>
            </w:r>
          </w:p>
        </w:tc>
        <w:tc>
          <w:tcPr>
            <w:tcW w:w="2918" w:type="dxa"/>
          </w:tcPr>
          <w:p w14:paraId="5FAC11C3" w14:textId="77777777" w:rsidR="00EF00A5"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15–20</w:t>
            </w:r>
          </w:p>
        </w:tc>
      </w:tr>
    </w:tbl>
    <w:p w14:paraId="10DB2431" w14:textId="77777777" w:rsidR="00EF00A5"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Researchers employ regression models controlling for confounding variables to isolate the impact of specific digital components. Verification of energy savings is increasingly conducted through frameworks such as the Global Reporting Initiative (GRI) and blockchain enabled reporting tools (X. Wang &amp; Zhong, 2024).</w:t>
      </w:r>
    </w:p>
    <w:p w14:paraId="42082C50" w14:textId="77777777" w:rsidR="00EF00A5"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Evidence on diminishing returns suggests a non-linear relationship: initial digital integrations yield large benefits, but marginal gains decrease without strategic coordination (Gholami, 2024).</w:t>
      </w:r>
    </w:p>
    <w:p w14:paraId="796BADD7" w14:textId="77777777" w:rsidR="009D487D" w:rsidRDefault="009D487D">
      <w:pPr>
        <w:spacing w:line="276" w:lineRule="auto"/>
        <w:jc w:val="both"/>
        <w:rPr>
          <w:rFonts w:ascii="Garamond" w:eastAsia="Garamond" w:hAnsi="Garamond" w:cs="Garamond"/>
          <w:b/>
          <w:sz w:val="24"/>
          <w:szCs w:val="24"/>
        </w:rPr>
      </w:pPr>
    </w:p>
    <w:p w14:paraId="5A217F98" w14:textId="109684A7" w:rsidR="00EF00A5" w:rsidRDefault="00000000">
      <w:pPr>
        <w:spacing w:line="276" w:lineRule="auto"/>
        <w:jc w:val="both"/>
        <w:rPr>
          <w:rFonts w:ascii="Garamond" w:eastAsia="Garamond" w:hAnsi="Garamond" w:cs="Garamond"/>
          <w:sz w:val="24"/>
          <w:szCs w:val="24"/>
        </w:rPr>
      </w:pPr>
      <w:r>
        <w:rPr>
          <w:rFonts w:ascii="Garamond" w:eastAsia="Garamond" w:hAnsi="Garamond" w:cs="Garamond"/>
          <w:b/>
          <w:sz w:val="24"/>
          <w:szCs w:val="24"/>
        </w:rPr>
        <w:t>Theoretical Implications</w:t>
      </w:r>
    </w:p>
    <w:p w14:paraId="5228D344" w14:textId="77777777" w:rsidR="00EF00A5"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 xml:space="preserve">The interaction between digital transformation and green technology adoption yields a broad set of theoretical implications, offering deeper and more nuanced insights into how technology can be strategically leveraged for sustainable outcomes. Sun &amp; He (2023) underscore that digital tools do more than improve operational efficiency they expand an organization’s capacity to generate, manage, and scale sustainable innovations across markets and value chains. This relationship aligns closely with the Resource Based View (RBV) theory, which maintains that unique, inimitable capabilities such as advanced digital competencies act as both sources of competitive advantage and as catalysts for achieving sustainability goals. In the modern corporate landscape, where environmental and social accountability are increasingly demanded by stakeholders, this dual emphasis on innovation and environmental stewardship necessitates a rethinking of corporate performance measurement systems. Instead of focusing solely on traditional financial returns, firms are urged to integrate ESG dimensions into their strategic evaluation frameworks (Peña et al., 2019). The convergence of digital and green imperatives signals a paradigm shift toward holistic corporate value creation, where technological sophistication is inseparable from environmental </w:t>
      </w:r>
      <w:r>
        <w:rPr>
          <w:rFonts w:ascii="Garamond" w:eastAsia="Garamond" w:hAnsi="Garamond" w:cs="Garamond"/>
          <w:sz w:val="24"/>
          <w:szCs w:val="24"/>
        </w:rPr>
        <w:lastRenderedPageBreak/>
        <w:t>and societal impact. This shift not only changes internal corporate governance but also reshapes external relationships with investors, regulators, and consumers.</w:t>
      </w:r>
    </w:p>
    <w:p w14:paraId="033DCADF" w14:textId="32F913A2" w:rsidR="00EF00A5" w:rsidRDefault="00000000">
      <w:pPr>
        <w:spacing w:line="276" w:lineRule="auto"/>
        <w:jc w:val="both"/>
        <w:rPr>
          <w:rFonts w:ascii="Garamond" w:eastAsia="Garamond" w:hAnsi="Garamond" w:cs="Garamond"/>
          <w:sz w:val="24"/>
          <w:szCs w:val="24"/>
        </w:rPr>
      </w:pPr>
      <w:r>
        <w:rPr>
          <w:rFonts w:ascii="Garamond" w:eastAsia="Garamond" w:hAnsi="Garamond" w:cs="Garamond"/>
          <w:b/>
          <w:sz w:val="24"/>
          <w:szCs w:val="24"/>
        </w:rPr>
        <w:t>Cross Domain Synergies</w:t>
      </w:r>
    </w:p>
    <w:p w14:paraId="749C8774" w14:textId="77777777" w:rsidR="00EF00A5"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Cross-domain comparisons further validate the findings. Similar to Industry 4.0 experiences, where IoT and AI improve supply chain resilience (Yi et al., 2023). this study demonstrates that integrating digital tools with green initiatives creates reinforcing feedback loops. These loops amplify ESG outcomes over time, suggesting that sustainability performance can be strategically engineered. In line with Boz and Martin</w:t>
      </w:r>
      <w:r>
        <w:rPr>
          <w:rFonts w:ascii="Cambria Math" w:eastAsia="Cambria Math" w:hAnsi="Cambria Math" w:cs="Cambria Math"/>
          <w:sz w:val="24"/>
          <w:szCs w:val="24"/>
        </w:rPr>
        <w:t>‐</w:t>
      </w:r>
      <w:r>
        <w:rPr>
          <w:rFonts w:ascii="Garamond" w:eastAsia="Garamond" w:hAnsi="Garamond" w:cs="Garamond"/>
          <w:sz w:val="24"/>
          <w:szCs w:val="24"/>
        </w:rPr>
        <w:t>Ryals (2023), real-time monitoring and predictive analytics allow firms to preempt inefficiencies, which strengthens the generalizability of our results across industries.</w:t>
      </w:r>
    </w:p>
    <w:p w14:paraId="3405610F" w14:textId="1872F184" w:rsidR="00EF00A5" w:rsidRDefault="00000000">
      <w:pPr>
        <w:spacing w:line="276" w:lineRule="auto"/>
        <w:jc w:val="both"/>
        <w:rPr>
          <w:rFonts w:ascii="Garamond" w:eastAsia="Garamond" w:hAnsi="Garamond" w:cs="Garamond"/>
          <w:sz w:val="24"/>
          <w:szCs w:val="24"/>
        </w:rPr>
      </w:pPr>
      <w:r>
        <w:rPr>
          <w:rFonts w:ascii="Garamond" w:eastAsia="Garamond" w:hAnsi="Garamond" w:cs="Garamond"/>
          <w:b/>
          <w:sz w:val="24"/>
          <w:szCs w:val="24"/>
        </w:rPr>
        <w:t>Policy Recommendations</w:t>
      </w:r>
    </w:p>
    <w:p w14:paraId="4D6946DA" w14:textId="77777777" w:rsidR="00EF00A5"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 xml:space="preserve">From a policy perspective, advancing integrated digital–green strategies especially in emerging markets requires more than mere technological readiness; it demands stable regulatory frameworks, targeted financial incentives, and collaborative networks across sectors. </w:t>
      </w:r>
      <w:proofErr w:type="spellStart"/>
      <w:r>
        <w:rPr>
          <w:rFonts w:ascii="Garamond" w:eastAsia="Garamond" w:hAnsi="Garamond" w:cs="Garamond"/>
          <w:sz w:val="24"/>
          <w:szCs w:val="24"/>
        </w:rPr>
        <w:t>Haiyong</w:t>
      </w:r>
      <w:proofErr w:type="spellEnd"/>
      <w:r>
        <w:rPr>
          <w:rFonts w:ascii="Garamond" w:eastAsia="Garamond" w:hAnsi="Garamond" w:cs="Garamond"/>
          <w:sz w:val="24"/>
          <w:szCs w:val="24"/>
        </w:rPr>
        <w:t xml:space="preserve"> et al. (2024) recommend tax incentives and targeted R&amp;D subsidies to stimulate investments in digital tools aligned with sustainability objectives. Akbar &amp; Lantu (2023) highlight the importance of technology sharing platforms to help SMEs overcome barriers related to high costs and limited expertise. In addition, partnerships between government, industry, and academia can foster innovation ecosystems where research insights are quickly transformed into market ready solutions (Agarwal &amp; </w:t>
      </w:r>
      <w:proofErr w:type="spellStart"/>
      <w:r>
        <w:rPr>
          <w:rFonts w:ascii="Garamond" w:eastAsia="Garamond" w:hAnsi="Garamond" w:cs="Garamond"/>
          <w:sz w:val="24"/>
          <w:szCs w:val="24"/>
        </w:rPr>
        <w:t>Alathur</w:t>
      </w:r>
      <w:proofErr w:type="spellEnd"/>
      <w:r>
        <w:rPr>
          <w:rFonts w:ascii="Garamond" w:eastAsia="Garamond" w:hAnsi="Garamond" w:cs="Garamond"/>
          <w:sz w:val="24"/>
          <w:szCs w:val="24"/>
        </w:rPr>
        <w:t>, 2023). These partnerships should be supported by capacity building programs to improve digital literacy and sustainability awareness, closing the skills gap that often impedes adoption. Furthermore, policies must account for regional variations, ensuring that rural and underdeveloped areas are not left behind in the digital–green transition.</w:t>
      </w:r>
    </w:p>
    <w:p w14:paraId="5AD00132" w14:textId="0CA80942" w:rsidR="00EF00A5" w:rsidRDefault="00000000">
      <w:pPr>
        <w:spacing w:line="276" w:lineRule="auto"/>
        <w:jc w:val="both"/>
        <w:rPr>
          <w:rFonts w:ascii="Garamond" w:eastAsia="Garamond" w:hAnsi="Garamond" w:cs="Garamond"/>
          <w:sz w:val="24"/>
          <w:szCs w:val="24"/>
        </w:rPr>
      </w:pPr>
      <w:r>
        <w:rPr>
          <w:rFonts w:ascii="Garamond" w:eastAsia="Garamond" w:hAnsi="Garamond" w:cs="Garamond"/>
          <w:b/>
          <w:sz w:val="24"/>
          <w:szCs w:val="24"/>
        </w:rPr>
        <w:t>Challenges and Limitations</w:t>
      </w:r>
    </w:p>
    <w:p w14:paraId="78CAB97F" w14:textId="77777777" w:rsidR="00EF00A5"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 xml:space="preserve">Despite its promise, several barriers complicate the direct linkage between digital transformation and sustainability outcomes. </w:t>
      </w:r>
      <w:proofErr w:type="spellStart"/>
      <w:r>
        <w:rPr>
          <w:rFonts w:ascii="Garamond" w:eastAsia="Garamond" w:hAnsi="Garamond" w:cs="Garamond"/>
          <w:sz w:val="24"/>
          <w:szCs w:val="24"/>
        </w:rPr>
        <w:t>Jeza</w:t>
      </w:r>
      <w:proofErr w:type="spellEnd"/>
      <w:r>
        <w:rPr>
          <w:rFonts w:ascii="Garamond" w:eastAsia="Garamond" w:hAnsi="Garamond" w:cs="Garamond"/>
          <w:sz w:val="24"/>
          <w:szCs w:val="24"/>
        </w:rPr>
        <w:t xml:space="preserve"> &amp; </w:t>
      </w:r>
      <w:proofErr w:type="spellStart"/>
      <w:r>
        <w:rPr>
          <w:rFonts w:ascii="Garamond" w:eastAsia="Garamond" w:hAnsi="Garamond" w:cs="Garamond"/>
          <w:sz w:val="24"/>
          <w:szCs w:val="24"/>
        </w:rPr>
        <w:t>Lekhanya</w:t>
      </w:r>
      <w:proofErr w:type="spellEnd"/>
      <w:r>
        <w:rPr>
          <w:rFonts w:ascii="Garamond" w:eastAsia="Garamond" w:hAnsi="Garamond" w:cs="Garamond"/>
          <w:sz w:val="24"/>
          <w:szCs w:val="24"/>
        </w:rPr>
        <w:t xml:space="preserve"> (2022) highlight the methodological difficulty in isolating the net sustainability effects of digital initiatives, given the multiple interacting factors influencing environmental performance. Measuring outcomes is further complicated by the time lag between the start of digital projects and the realization of full sustainability benefits. (He &amp; Liu, 2023) argue that organizational restructuring, workforce reskilling, and cultural change are often prerequisites for success processes that require long term commitment and resources.</w:t>
      </w:r>
    </w:p>
    <w:p w14:paraId="143B3147" w14:textId="77777777" w:rsidR="00EF00A5" w:rsidRDefault="00000000">
      <w:pPr>
        <w:spacing w:line="276" w:lineRule="auto"/>
        <w:jc w:val="both"/>
        <w:rPr>
          <w:rFonts w:ascii="Garamond" w:eastAsia="Garamond" w:hAnsi="Garamond" w:cs="Garamond"/>
          <w:sz w:val="24"/>
          <w:szCs w:val="24"/>
        </w:rPr>
      </w:pPr>
      <w:r>
        <w:rPr>
          <w:rFonts w:ascii="Garamond" w:eastAsia="Garamond" w:hAnsi="Garamond" w:cs="Garamond"/>
          <w:sz w:val="24"/>
          <w:szCs w:val="24"/>
        </w:rPr>
        <w:t xml:space="preserve">Another challenge lies in ensuring equitable access to digital transformation benefits. (Omrani et al., 2024) note that SMEs and resource limited firms often face disproportionate obstacles, such as inadequate capital, insufficient technical expertise, and weak infrastructure. These disparities risk deepening existing inequalities between large and small firms, as well as between urban and rural regions. Addressing these gaps will require tailored financial instruments, flexible support schemes, and inclusive innovation policies that enable all organizations to participate in and benefit from the digital–green transition. </w:t>
      </w:r>
    </w:p>
    <w:p w14:paraId="3DDE3940" w14:textId="77777777" w:rsidR="00EF00A5" w:rsidRDefault="00EF00A5"/>
    <w:p w14:paraId="11471888" w14:textId="77777777" w:rsidR="00EF00A5" w:rsidRDefault="00000000">
      <w:pPr>
        <w:pStyle w:val="Heading1"/>
        <w:spacing w:before="0" w:line="276" w:lineRule="auto"/>
        <w:rPr>
          <w:rFonts w:ascii="Garamond" w:eastAsia="Garamond" w:hAnsi="Garamond" w:cs="Garamond"/>
          <w:b/>
          <w:color w:val="000000"/>
          <w:sz w:val="24"/>
          <w:szCs w:val="24"/>
        </w:rPr>
      </w:pPr>
      <w:r>
        <w:rPr>
          <w:rFonts w:ascii="Garamond" w:eastAsia="Garamond" w:hAnsi="Garamond" w:cs="Garamond"/>
          <w:b/>
          <w:color w:val="000000"/>
          <w:sz w:val="24"/>
          <w:szCs w:val="24"/>
        </w:rPr>
        <w:lastRenderedPageBreak/>
        <w:t xml:space="preserve">CONCLUSION </w:t>
      </w:r>
    </w:p>
    <w:p w14:paraId="6F84C96F" w14:textId="77777777" w:rsidR="00EF00A5" w:rsidRDefault="00000000">
      <w:pPr>
        <w:pBdr>
          <w:top w:val="nil"/>
          <w:left w:val="nil"/>
          <w:bottom w:val="nil"/>
          <w:right w:val="nil"/>
          <w:between w:val="nil"/>
        </w:pBdr>
        <w:spacing w:before="280" w:after="280"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This study confirms that digital transformation significantly strengthens the relationship between green technology adoption and corporate sustainability performance. By integrating AI, IoT, and big data into sustainability practices, firms achieve measurable improvements in ESG scores, emissions reductions, and operational efficiency, while also building long-term resilience. These results validate the Resource-Based View and dynamic capabilities theory, showing that digital competencies act as strategic resources that enable firms to innovate and adapt effectively. Thus, the research not only addresses the stated objectives but also contributes to theoretical discourse by positioning digital maturity as a critical moderator in advancing green innovation.</w:t>
      </w:r>
    </w:p>
    <w:p w14:paraId="543091B9" w14:textId="77777777" w:rsidR="00EF00A5" w:rsidRDefault="00000000">
      <w:pPr>
        <w:pBdr>
          <w:top w:val="nil"/>
          <w:left w:val="nil"/>
          <w:bottom w:val="nil"/>
          <w:right w:val="nil"/>
          <w:between w:val="nil"/>
        </w:pBdr>
        <w:spacing w:before="280" w:after="280" w:line="276" w:lineRule="auto"/>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Beyond theoretical insights, the findings highlight important implications for practice and policy. Emerging markets benefit most from tailored incentives, green finance, and technology-sharing mechanisms, whereas developed economies focus on refining advanced integration strategies. To ensure equitable participation, inclusive innovation policies and capacity-building programs are needed, particularly for SMEs and resource-constrained firms. Policymakers and business leaders are urged to align digital and green strategies holistically, embedding them into long-term planning frameworks. Future research should adopt longitudinal and sector-specific approaches to capture delayed impacts and address persistent disparities, thereby strengthening the global pursuit of sustainable development goals. </w:t>
      </w:r>
    </w:p>
    <w:p w14:paraId="66533D59" w14:textId="77777777" w:rsidR="00EF00A5" w:rsidRDefault="00EF00A5">
      <w:pPr>
        <w:pBdr>
          <w:top w:val="nil"/>
          <w:left w:val="nil"/>
          <w:bottom w:val="nil"/>
          <w:right w:val="nil"/>
          <w:between w:val="nil"/>
        </w:pBdr>
        <w:spacing w:before="280" w:after="280" w:line="276" w:lineRule="auto"/>
        <w:jc w:val="both"/>
        <w:rPr>
          <w:rFonts w:ascii="Garamond" w:eastAsia="Garamond" w:hAnsi="Garamond" w:cs="Garamond"/>
          <w:color w:val="000000"/>
          <w:sz w:val="24"/>
          <w:szCs w:val="24"/>
        </w:rPr>
      </w:pPr>
    </w:p>
    <w:p w14:paraId="226562B0" w14:textId="77777777" w:rsidR="00EF00A5" w:rsidRDefault="00000000">
      <w:pPr>
        <w:pBdr>
          <w:top w:val="nil"/>
          <w:left w:val="nil"/>
          <w:bottom w:val="nil"/>
          <w:right w:val="nil"/>
          <w:between w:val="nil"/>
        </w:pBdr>
        <w:spacing w:before="280" w:after="280" w:line="276" w:lineRule="auto"/>
        <w:jc w:val="both"/>
        <w:rPr>
          <w:rFonts w:ascii="Garamond" w:eastAsia="Garamond" w:hAnsi="Garamond" w:cs="Garamond"/>
          <w:b/>
          <w:color w:val="000000"/>
          <w:sz w:val="24"/>
          <w:szCs w:val="24"/>
        </w:rPr>
      </w:pPr>
      <w:r>
        <w:rPr>
          <w:rFonts w:ascii="Garamond" w:eastAsia="Garamond" w:hAnsi="Garamond" w:cs="Garamond"/>
          <w:b/>
          <w:color w:val="000000"/>
          <w:sz w:val="24"/>
          <w:szCs w:val="24"/>
        </w:rPr>
        <w:t>REFERENCE</w:t>
      </w:r>
    </w:p>
    <w:p w14:paraId="2687CE3C" w14:textId="77777777" w:rsidR="00EF00A5" w:rsidRDefault="00000000" w:rsidP="009D487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Agarwal, A., &amp; </w:t>
      </w:r>
      <w:proofErr w:type="spellStart"/>
      <w:r>
        <w:rPr>
          <w:rFonts w:ascii="Garamond" w:eastAsia="Garamond" w:hAnsi="Garamond" w:cs="Garamond"/>
          <w:color w:val="000000"/>
          <w:sz w:val="24"/>
          <w:szCs w:val="24"/>
        </w:rPr>
        <w:t>Alathur</w:t>
      </w:r>
      <w:proofErr w:type="spellEnd"/>
      <w:r>
        <w:rPr>
          <w:rFonts w:ascii="Garamond" w:eastAsia="Garamond" w:hAnsi="Garamond" w:cs="Garamond"/>
          <w:color w:val="000000"/>
          <w:sz w:val="24"/>
          <w:szCs w:val="24"/>
        </w:rPr>
        <w:t>, S. (2023). Metaverse Revolution and the Digital Transformation: Intersectional Analysis of Industry 5.0. Transforming Government People Process and Policy, 17(4), 688–707. https://doi.org/10.1108/tg-03-2023-0036</w:t>
      </w:r>
    </w:p>
    <w:p w14:paraId="42FF9489" w14:textId="77777777" w:rsidR="00EF00A5" w:rsidRDefault="00000000" w:rsidP="009D487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Bylo, A. (2025). Assessing the Impact of Green Finance on Sustainability in Emerging Markets: Trends, Challenges, and Future Prospects (2000–Present). International Scientific Journal Monte, 10(1). https://doi.org/10.33807/monte.20253288</w:t>
      </w:r>
    </w:p>
    <w:p w14:paraId="61F22336" w14:textId="77777777" w:rsidR="00EF00A5" w:rsidRDefault="00000000" w:rsidP="009D487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Du, M., Zhang, R., Chai, S., Li, Q., Sun, R., &amp; Chu, W. (2022). Can Green Finance Policies Stimulate Technological Innovation and Financial Performance? Evidence From Chinese Listed Green Enterprises. Sustainability, 14(15), 9287. https://doi.org/10.3390/su14159287</w:t>
      </w:r>
    </w:p>
    <w:p w14:paraId="213DA77C" w14:textId="77777777" w:rsidR="00EF00A5" w:rsidRDefault="00000000" w:rsidP="009D487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Gholami, S. (2024). How Does Digital Transformation Affect Green Supply Chain Efficiency? </w:t>
      </w:r>
      <w:proofErr w:type="spellStart"/>
      <w:r>
        <w:rPr>
          <w:rFonts w:ascii="Garamond" w:eastAsia="Garamond" w:hAnsi="Garamond" w:cs="Garamond"/>
          <w:color w:val="000000"/>
          <w:sz w:val="24"/>
          <w:szCs w:val="24"/>
        </w:rPr>
        <w:t>Holistica</w:t>
      </w:r>
      <w:proofErr w:type="spellEnd"/>
      <w:r>
        <w:rPr>
          <w:rFonts w:ascii="Garamond" w:eastAsia="Garamond" w:hAnsi="Garamond" w:cs="Garamond"/>
          <w:color w:val="000000"/>
          <w:sz w:val="24"/>
          <w:szCs w:val="24"/>
        </w:rPr>
        <w:t xml:space="preserve"> – Journal of Business and Public Administration, 15(1), 149–159. https://doi.org/10.2478/hjbpa-2024-0010</w:t>
      </w:r>
    </w:p>
    <w:p w14:paraId="554F03DB" w14:textId="77777777" w:rsidR="00EF00A5" w:rsidRDefault="00000000" w:rsidP="009D487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proofErr w:type="spellStart"/>
      <w:r>
        <w:rPr>
          <w:rFonts w:ascii="Garamond" w:eastAsia="Garamond" w:hAnsi="Garamond" w:cs="Garamond"/>
          <w:color w:val="000000"/>
          <w:sz w:val="24"/>
          <w:szCs w:val="24"/>
        </w:rPr>
        <w:t>haiyong</w:t>
      </w:r>
      <w:proofErr w:type="spellEnd"/>
      <w:r>
        <w:rPr>
          <w:rFonts w:ascii="Garamond" w:eastAsia="Garamond" w:hAnsi="Garamond" w:cs="Garamond"/>
          <w:color w:val="000000"/>
          <w:sz w:val="24"/>
          <w:szCs w:val="24"/>
        </w:rPr>
        <w:t xml:space="preserve">, J., Han, Y., &amp; Qin, Y. (2024). Influencing Factors as Well as Implementation Path of Synergistic Development of Digitalization and Greening in Manufacturing Industry: Analysis </w:t>
      </w:r>
      <w:proofErr w:type="gramStart"/>
      <w:r>
        <w:rPr>
          <w:rFonts w:ascii="Garamond" w:eastAsia="Garamond" w:hAnsi="Garamond" w:cs="Garamond"/>
          <w:color w:val="000000"/>
          <w:sz w:val="24"/>
          <w:szCs w:val="24"/>
        </w:rPr>
        <w:t>From</w:t>
      </w:r>
      <w:proofErr w:type="gramEnd"/>
      <w:r>
        <w:rPr>
          <w:rFonts w:ascii="Garamond" w:eastAsia="Garamond" w:hAnsi="Garamond" w:cs="Garamond"/>
          <w:color w:val="000000"/>
          <w:sz w:val="24"/>
          <w:szCs w:val="24"/>
        </w:rPr>
        <w:t xml:space="preserve"> a Configuration Perspective. Review of Economic Assessment, 3(1), 37–48. https://doi.org/10.58567/rea03010004</w:t>
      </w:r>
    </w:p>
    <w:p w14:paraId="5353D128" w14:textId="77777777" w:rsidR="00EF00A5" w:rsidRDefault="00000000" w:rsidP="009D487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lastRenderedPageBreak/>
        <w:t>Hao, M., Zhang, F., Xu, S.-C., Dong, Z., &amp; He, Z. (2025). The Impact of Digital Intelligence on Energy-Intensive Firms’ Green Transformation. Environmental Research Communications, 7(2), 025016. https://doi.org/10.1088/2515-7620/adaa56</w:t>
      </w:r>
    </w:p>
    <w:p w14:paraId="518BDB40" w14:textId="77777777" w:rsidR="00EF00A5" w:rsidRDefault="00000000" w:rsidP="009D487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He, J., &amp; Liu, X. (2023). Study on the Impact and Mechanism of Industrial Internet Pilot on Digital Transformation of Manufacturing Enterprises. Sustainability, 15(10), 7872. https://doi.org/10.3390/su15107872</w:t>
      </w:r>
    </w:p>
    <w:p w14:paraId="7D66F96B" w14:textId="77777777" w:rsidR="00EF00A5" w:rsidRDefault="00000000" w:rsidP="009D487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proofErr w:type="spellStart"/>
      <w:r>
        <w:rPr>
          <w:rFonts w:ascii="Garamond" w:eastAsia="Garamond" w:hAnsi="Garamond" w:cs="Garamond"/>
          <w:color w:val="000000"/>
          <w:sz w:val="24"/>
          <w:szCs w:val="24"/>
        </w:rPr>
        <w:t>Jeza</w:t>
      </w:r>
      <w:proofErr w:type="spellEnd"/>
      <w:r>
        <w:rPr>
          <w:rFonts w:ascii="Garamond" w:eastAsia="Garamond" w:hAnsi="Garamond" w:cs="Garamond"/>
          <w:color w:val="000000"/>
          <w:sz w:val="24"/>
          <w:szCs w:val="24"/>
        </w:rPr>
        <w:t xml:space="preserve">, S., &amp; </w:t>
      </w:r>
      <w:proofErr w:type="spellStart"/>
      <w:r>
        <w:rPr>
          <w:rFonts w:ascii="Garamond" w:eastAsia="Garamond" w:hAnsi="Garamond" w:cs="Garamond"/>
          <w:color w:val="000000"/>
          <w:sz w:val="24"/>
          <w:szCs w:val="24"/>
        </w:rPr>
        <w:t>Lekhanya</w:t>
      </w:r>
      <w:proofErr w:type="spellEnd"/>
      <w:r>
        <w:rPr>
          <w:rFonts w:ascii="Garamond" w:eastAsia="Garamond" w:hAnsi="Garamond" w:cs="Garamond"/>
          <w:color w:val="000000"/>
          <w:sz w:val="24"/>
          <w:szCs w:val="24"/>
        </w:rPr>
        <w:t>, L. M. (2022). The Influence of Digital Transformation on the Growth of Small and Medium Enterprises in South Africa. Problems and Perspectives in Management, 20(3), 297–309. https://doi.org/10.21511/ppm.20(3).2022.24</w:t>
      </w:r>
    </w:p>
    <w:p w14:paraId="727B6F89" w14:textId="77777777" w:rsidR="00EF00A5" w:rsidRDefault="00000000" w:rsidP="009D487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Li, W., Xiao, X., Yang, X., &amp; Li, L. (2023). How Does Digital Transformation Impact Green Supply Chain Development? An Empirical Analysis Based on the TOE Theoretical Framework. Systems, 11(8), 416. https://doi.org/10.3390/systems11080416</w:t>
      </w:r>
    </w:p>
    <w:p w14:paraId="0472C9BE" w14:textId="77777777" w:rsidR="00EF00A5" w:rsidRDefault="00000000" w:rsidP="009D487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Liu, Y., Guo, M., Han, Z., </w:t>
      </w:r>
      <w:proofErr w:type="spellStart"/>
      <w:r>
        <w:rPr>
          <w:rFonts w:ascii="Garamond" w:eastAsia="Garamond" w:hAnsi="Garamond" w:cs="Garamond"/>
          <w:color w:val="000000"/>
          <w:sz w:val="24"/>
          <w:szCs w:val="24"/>
        </w:rPr>
        <w:t>Gavurová</w:t>
      </w:r>
      <w:proofErr w:type="spellEnd"/>
      <w:r>
        <w:rPr>
          <w:rFonts w:ascii="Garamond" w:eastAsia="Garamond" w:hAnsi="Garamond" w:cs="Garamond"/>
          <w:color w:val="000000"/>
          <w:sz w:val="24"/>
          <w:szCs w:val="24"/>
        </w:rPr>
        <w:t xml:space="preserve">, B., Bresciani, S., &amp; Wang, T. (2023). Effects of Digital Orientation On </w:t>
      </w:r>
      <w:proofErr w:type="gramStart"/>
      <w:r>
        <w:rPr>
          <w:rFonts w:ascii="Garamond" w:eastAsia="Garamond" w:hAnsi="Garamond" w:cs="Garamond"/>
          <w:color w:val="000000"/>
          <w:sz w:val="24"/>
          <w:szCs w:val="24"/>
        </w:rPr>
        <w:t>organizational</w:t>
      </w:r>
      <w:proofErr w:type="gramEnd"/>
      <w:r>
        <w:rPr>
          <w:rFonts w:ascii="Garamond" w:eastAsia="Garamond" w:hAnsi="Garamond" w:cs="Garamond"/>
          <w:color w:val="000000"/>
          <w:sz w:val="24"/>
          <w:szCs w:val="24"/>
        </w:rPr>
        <w:t xml:space="preserve"> Resilience: A dynamic Capabilities Perspective. Journal of Manufacturing Technology Management, 35(2), 268–290. https://doi.org/10.1108/jmtm-06-2023-0224</w:t>
      </w:r>
    </w:p>
    <w:p w14:paraId="42B231F3" w14:textId="77777777" w:rsidR="00EF00A5" w:rsidRDefault="00000000" w:rsidP="009D487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Ni Luh Gede Putu Purnawati, </w:t>
      </w:r>
      <w:proofErr w:type="spellStart"/>
      <w:r>
        <w:rPr>
          <w:rFonts w:ascii="Garamond" w:eastAsia="Garamond" w:hAnsi="Garamond" w:cs="Garamond"/>
          <w:color w:val="000000"/>
          <w:sz w:val="24"/>
          <w:szCs w:val="24"/>
        </w:rPr>
        <w:t>Widnyani</w:t>
      </w:r>
      <w:proofErr w:type="spellEnd"/>
      <w:r>
        <w:rPr>
          <w:rFonts w:ascii="Garamond" w:eastAsia="Garamond" w:hAnsi="Garamond" w:cs="Garamond"/>
          <w:color w:val="000000"/>
          <w:sz w:val="24"/>
          <w:szCs w:val="24"/>
        </w:rPr>
        <w:t xml:space="preserve">, N. M., </w:t>
      </w:r>
      <w:proofErr w:type="spellStart"/>
      <w:r>
        <w:rPr>
          <w:rFonts w:ascii="Garamond" w:eastAsia="Garamond" w:hAnsi="Garamond" w:cs="Garamond"/>
          <w:color w:val="000000"/>
          <w:sz w:val="24"/>
          <w:szCs w:val="24"/>
        </w:rPr>
        <w:t>Darmayanti</w:t>
      </w:r>
      <w:proofErr w:type="spellEnd"/>
      <w:r>
        <w:rPr>
          <w:rFonts w:ascii="Garamond" w:eastAsia="Garamond" w:hAnsi="Garamond" w:cs="Garamond"/>
          <w:color w:val="000000"/>
          <w:sz w:val="24"/>
          <w:szCs w:val="24"/>
        </w:rPr>
        <w:t xml:space="preserve">, N. L., Luh </w:t>
      </w:r>
      <w:proofErr w:type="spellStart"/>
      <w:r>
        <w:rPr>
          <w:rFonts w:ascii="Garamond" w:eastAsia="Garamond" w:hAnsi="Garamond" w:cs="Garamond"/>
          <w:color w:val="000000"/>
          <w:sz w:val="24"/>
          <w:szCs w:val="24"/>
        </w:rPr>
        <w:t>Gde</w:t>
      </w:r>
      <w:proofErr w:type="spellEnd"/>
      <w:r>
        <w:rPr>
          <w:rFonts w:ascii="Garamond" w:eastAsia="Garamond" w:hAnsi="Garamond" w:cs="Garamond"/>
          <w:color w:val="000000"/>
          <w:sz w:val="24"/>
          <w:szCs w:val="24"/>
        </w:rPr>
        <w:t xml:space="preserve"> Nita Sri Wahyuningsih, &amp; </w:t>
      </w:r>
      <w:proofErr w:type="spellStart"/>
      <w:r>
        <w:rPr>
          <w:rFonts w:ascii="Garamond" w:eastAsia="Garamond" w:hAnsi="Garamond" w:cs="Garamond"/>
          <w:color w:val="000000"/>
          <w:sz w:val="24"/>
          <w:szCs w:val="24"/>
        </w:rPr>
        <w:t>Yudiastra</w:t>
      </w:r>
      <w:proofErr w:type="spellEnd"/>
      <w:r>
        <w:rPr>
          <w:rFonts w:ascii="Garamond" w:eastAsia="Garamond" w:hAnsi="Garamond" w:cs="Garamond"/>
          <w:color w:val="000000"/>
          <w:sz w:val="24"/>
          <w:szCs w:val="24"/>
        </w:rPr>
        <w:t xml:space="preserve">, P. P. (2023). Strategy Implementation of Green Ethics Concept in Human Resource Management. </w:t>
      </w:r>
      <w:proofErr w:type="spellStart"/>
      <w:r>
        <w:rPr>
          <w:rFonts w:ascii="Garamond" w:eastAsia="Garamond" w:hAnsi="Garamond" w:cs="Garamond"/>
          <w:color w:val="000000"/>
          <w:sz w:val="24"/>
          <w:szCs w:val="24"/>
        </w:rPr>
        <w:t>Moneter</w:t>
      </w:r>
      <w:proofErr w:type="spellEnd"/>
      <w:r>
        <w:rPr>
          <w:rFonts w:ascii="Garamond" w:eastAsia="Garamond" w:hAnsi="Garamond" w:cs="Garamond"/>
          <w:color w:val="000000"/>
          <w:sz w:val="24"/>
          <w:szCs w:val="24"/>
        </w:rPr>
        <w:t xml:space="preserve"> </w:t>
      </w:r>
      <w:proofErr w:type="spellStart"/>
      <w:r>
        <w:rPr>
          <w:rFonts w:ascii="Garamond" w:eastAsia="Garamond" w:hAnsi="Garamond" w:cs="Garamond"/>
          <w:color w:val="000000"/>
          <w:sz w:val="24"/>
          <w:szCs w:val="24"/>
        </w:rPr>
        <w:t>Jurnal</w:t>
      </w:r>
      <w:proofErr w:type="spellEnd"/>
      <w:r>
        <w:rPr>
          <w:rFonts w:ascii="Garamond" w:eastAsia="Garamond" w:hAnsi="Garamond" w:cs="Garamond"/>
          <w:color w:val="000000"/>
          <w:sz w:val="24"/>
          <w:szCs w:val="24"/>
        </w:rPr>
        <w:t xml:space="preserve"> </w:t>
      </w:r>
      <w:proofErr w:type="spellStart"/>
      <w:r>
        <w:rPr>
          <w:rFonts w:ascii="Garamond" w:eastAsia="Garamond" w:hAnsi="Garamond" w:cs="Garamond"/>
          <w:color w:val="000000"/>
          <w:sz w:val="24"/>
          <w:szCs w:val="24"/>
        </w:rPr>
        <w:t>Keuangan</w:t>
      </w:r>
      <w:proofErr w:type="spellEnd"/>
      <w:r>
        <w:rPr>
          <w:rFonts w:ascii="Garamond" w:eastAsia="Garamond" w:hAnsi="Garamond" w:cs="Garamond"/>
          <w:color w:val="000000"/>
          <w:sz w:val="24"/>
          <w:szCs w:val="24"/>
        </w:rPr>
        <w:t xml:space="preserve"> Dan Perbankan, 11(1), 62–65. https://doi.org/10.32832/moneter.v11i1.142</w:t>
      </w:r>
    </w:p>
    <w:p w14:paraId="49330C65" w14:textId="77777777" w:rsidR="00EF00A5" w:rsidRDefault="00000000" w:rsidP="009D487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Okeke, N. I., Bakare, O. A., &amp; </w:t>
      </w:r>
      <w:proofErr w:type="spellStart"/>
      <w:r>
        <w:rPr>
          <w:rFonts w:ascii="Garamond" w:eastAsia="Garamond" w:hAnsi="Garamond" w:cs="Garamond"/>
          <w:color w:val="000000"/>
          <w:sz w:val="24"/>
          <w:szCs w:val="24"/>
        </w:rPr>
        <w:t>Achumie</w:t>
      </w:r>
      <w:proofErr w:type="spellEnd"/>
      <w:r>
        <w:rPr>
          <w:rFonts w:ascii="Garamond" w:eastAsia="Garamond" w:hAnsi="Garamond" w:cs="Garamond"/>
          <w:color w:val="000000"/>
          <w:sz w:val="24"/>
          <w:szCs w:val="24"/>
        </w:rPr>
        <w:t>, G. O. (2024). Integrating Policy Incentives and Risk Management for Effective Green Finance in Emerging Markets. International Journal of Frontiers in Science and Technology Research, 7(1), 076–088. https://doi.org/10.53294/ijfstr.2024.7.1.0050</w:t>
      </w:r>
    </w:p>
    <w:p w14:paraId="466F65B8" w14:textId="77777777" w:rsidR="00EF00A5" w:rsidRDefault="00000000" w:rsidP="009D487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Omrani, N., </w:t>
      </w:r>
      <w:proofErr w:type="spellStart"/>
      <w:r>
        <w:rPr>
          <w:rFonts w:ascii="Garamond" w:eastAsia="Garamond" w:hAnsi="Garamond" w:cs="Garamond"/>
          <w:color w:val="000000"/>
          <w:sz w:val="24"/>
          <w:szCs w:val="24"/>
        </w:rPr>
        <w:t>Rejeb</w:t>
      </w:r>
      <w:proofErr w:type="spellEnd"/>
      <w:r>
        <w:rPr>
          <w:rFonts w:ascii="Garamond" w:eastAsia="Garamond" w:hAnsi="Garamond" w:cs="Garamond"/>
          <w:color w:val="000000"/>
          <w:sz w:val="24"/>
          <w:szCs w:val="24"/>
        </w:rPr>
        <w:t xml:space="preserve">, N., </w:t>
      </w:r>
      <w:proofErr w:type="spellStart"/>
      <w:r>
        <w:rPr>
          <w:rFonts w:ascii="Garamond" w:eastAsia="Garamond" w:hAnsi="Garamond" w:cs="Garamond"/>
          <w:color w:val="000000"/>
          <w:sz w:val="24"/>
          <w:szCs w:val="24"/>
        </w:rPr>
        <w:t>Maâlaoui</w:t>
      </w:r>
      <w:proofErr w:type="spellEnd"/>
      <w:r>
        <w:rPr>
          <w:rFonts w:ascii="Garamond" w:eastAsia="Garamond" w:hAnsi="Garamond" w:cs="Garamond"/>
          <w:color w:val="000000"/>
          <w:sz w:val="24"/>
          <w:szCs w:val="24"/>
        </w:rPr>
        <w:t xml:space="preserve">, A., </w:t>
      </w:r>
      <w:proofErr w:type="spellStart"/>
      <w:r>
        <w:rPr>
          <w:rFonts w:ascii="Garamond" w:eastAsia="Garamond" w:hAnsi="Garamond" w:cs="Garamond"/>
          <w:color w:val="000000"/>
          <w:sz w:val="24"/>
          <w:szCs w:val="24"/>
        </w:rPr>
        <w:t>Dabić</w:t>
      </w:r>
      <w:proofErr w:type="spellEnd"/>
      <w:r>
        <w:rPr>
          <w:rFonts w:ascii="Garamond" w:eastAsia="Garamond" w:hAnsi="Garamond" w:cs="Garamond"/>
          <w:color w:val="000000"/>
          <w:sz w:val="24"/>
          <w:szCs w:val="24"/>
        </w:rPr>
        <w:t xml:space="preserve">, M., &amp; Kraus, S. (2024). Drivers of Digital Transformation in SMEs. </w:t>
      </w:r>
      <w:proofErr w:type="spellStart"/>
      <w:r>
        <w:rPr>
          <w:rFonts w:ascii="Garamond" w:eastAsia="Garamond" w:hAnsi="Garamond" w:cs="Garamond"/>
          <w:color w:val="000000"/>
          <w:sz w:val="24"/>
          <w:szCs w:val="24"/>
        </w:rPr>
        <w:t>Ieee</w:t>
      </w:r>
      <w:proofErr w:type="spellEnd"/>
      <w:r>
        <w:rPr>
          <w:rFonts w:ascii="Garamond" w:eastAsia="Garamond" w:hAnsi="Garamond" w:cs="Garamond"/>
          <w:color w:val="000000"/>
          <w:sz w:val="24"/>
          <w:szCs w:val="24"/>
        </w:rPr>
        <w:t xml:space="preserve"> Transactions on Engineering Management, 71, 5030–5043. https://doi.org/10.1109/tem.2022.3215727</w:t>
      </w:r>
    </w:p>
    <w:p w14:paraId="3A9E1451" w14:textId="77777777" w:rsidR="00EF00A5" w:rsidRDefault="00000000" w:rsidP="009D487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Peña, M. L. M., López, J. M. S., &amp; Garrido, E. D. (2019). </w:t>
      </w:r>
      <w:proofErr w:type="spellStart"/>
      <w:r>
        <w:rPr>
          <w:rFonts w:ascii="Garamond" w:eastAsia="Garamond" w:hAnsi="Garamond" w:cs="Garamond"/>
          <w:color w:val="000000"/>
          <w:sz w:val="24"/>
          <w:szCs w:val="24"/>
        </w:rPr>
        <w:t>Servitization</w:t>
      </w:r>
      <w:proofErr w:type="spellEnd"/>
      <w:r>
        <w:rPr>
          <w:rFonts w:ascii="Garamond" w:eastAsia="Garamond" w:hAnsi="Garamond" w:cs="Garamond"/>
          <w:color w:val="000000"/>
          <w:sz w:val="24"/>
          <w:szCs w:val="24"/>
        </w:rPr>
        <w:t xml:space="preserve"> and Digitalization in Manufacturing: The Influence on Firm Performance. Journal of Business and Industrial Marketing, 35(3), 564–574. https://doi.org/10.1108/jbim-12-2018-0400</w:t>
      </w:r>
    </w:p>
    <w:p w14:paraId="5D7E4469" w14:textId="77777777" w:rsidR="00EF00A5" w:rsidRDefault="00000000" w:rsidP="009D487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Peng, S., Peng, H., Pan, S., &amp; Wu, J. (2023). Digital Transformation, Green Innovation, and Pollution Abatement: Evidence </w:t>
      </w:r>
      <w:proofErr w:type="gramStart"/>
      <w:r>
        <w:rPr>
          <w:rFonts w:ascii="Garamond" w:eastAsia="Garamond" w:hAnsi="Garamond" w:cs="Garamond"/>
          <w:color w:val="000000"/>
          <w:sz w:val="24"/>
          <w:szCs w:val="24"/>
        </w:rPr>
        <w:t>From</w:t>
      </w:r>
      <w:proofErr w:type="gramEnd"/>
      <w:r>
        <w:rPr>
          <w:rFonts w:ascii="Garamond" w:eastAsia="Garamond" w:hAnsi="Garamond" w:cs="Garamond"/>
          <w:color w:val="000000"/>
          <w:sz w:val="24"/>
          <w:szCs w:val="24"/>
        </w:rPr>
        <w:t xml:space="preserve"> China. Sustainability, 15(8), 6659. https://doi.org/10.3390/su15086659</w:t>
      </w:r>
    </w:p>
    <w:p w14:paraId="501359F1" w14:textId="77777777" w:rsidR="00EF00A5" w:rsidRDefault="00000000" w:rsidP="009D487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Philbin, S. P., Viswanathan, R., &amp; </w:t>
      </w:r>
      <w:proofErr w:type="spellStart"/>
      <w:r>
        <w:rPr>
          <w:rFonts w:ascii="Garamond" w:eastAsia="Garamond" w:hAnsi="Garamond" w:cs="Garamond"/>
          <w:color w:val="000000"/>
          <w:sz w:val="24"/>
          <w:szCs w:val="24"/>
        </w:rPr>
        <w:t>Telukdarie</w:t>
      </w:r>
      <w:proofErr w:type="spellEnd"/>
      <w:r>
        <w:rPr>
          <w:rFonts w:ascii="Garamond" w:eastAsia="Garamond" w:hAnsi="Garamond" w:cs="Garamond"/>
          <w:color w:val="000000"/>
          <w:sz w:val="24"/>
          <w:szCs w:val="24"/>
        </w:rPr>
        <w:t xml:space="preserve">, A. (2022). Understanding How Digital Transformation Can Enable SMEs to Achieve Sustainable Development: A Systematic </w:t>
      </w:r>
      <w:r>
        <w:rPr>
          <w:rFonts w:ascii="Garamond" w:eastAsia="Garamond" w:hAnsi="Garamond" w:cs="Garamond"/>
          <w:color w:val="000000"/>
          <w:sz w:val="24"/>
          <w:szCs w:val="24"/>
        </w:rPr>
        <w:lastRenderedPageBreak/>
        <w:t>Literature Review. Small Business International Review, 6(1), e473. https://doi.org/10.26784/sbir.v6i1.473</w:t>
      </w:r>
    </w:p>
    <w:p w14:paraId="116E5EAD" w14:textId="77777777" w:rsidR="00EF00A5" w:rsidRDefault="00000000" w:rsidP="009D487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Raden Syana Ansaraini Putri Akbar, &amp; Lantu, D. C. (2023). Accelerating the Digital Transformation in Bank XYZ. International Journal of Current Science Research and Review, 06(07). https://doi.org/10.47191/ijcsrr/v6-i7-102</w:t>
      </w:r>
    </w:p>
    <w:p w14:paraId="5232CA72" w14:textId="77777777" w:rsidR="00EF00A5" w:rsidRDefault="00000000" w:rsidP="009D487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Sun, Y., &amp; He, M. (2023). Does Digital Transformation Promote Green Innovation? A Micro-Level Perspective on the Solow Paradox. Frontiers in Environmental Science, 11. https://doi.org/10.3389/fenvs.2023.1134447</w:t>
      </w:r>
    </w:p>
    <w:p w14:paraId="018D48B7" w14:textId="77777777" w:rsidR="00EF00A5" w:rsidRDefault="00000000" w:rsidP="009D487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Tang, J., Ren, J., Wang, H., Shi, M., Jia, X., &amp; Zhang, L. (2024). Real Experience of Caregivers of Patients With HIV/AIDS From the Perspective of Iceberg Theory: A Qualitative Research. BMJ Open, 14(5), e079474. https://doi.org/10.1136/bmjopen-2023-079474</w:t>
      </w:r>
    </w:p>
    <w:p w14:paraId="242B4B08" w14:textId="77777777" w:rsidR="00EF00A5" w:rsidRDefault="00000000" w:rsidP="009D487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Wang, D., &amp; Dou, W. (2023). Investigation on How Carbon Markets and Digital Transformation Affect Green Innovation: Evidence </w:t>
      </w:r>
      <w:proofErr w:type="gramStart"/>
      <w:r>
        <w:rPr>
          <w:rFonts w:ascii="Garamond" w:eastAsia="Garamond" w:hAnsi="Garamond" w:cs="Garamond"/>
          <w:color w:val="000000"/>
          <w:sz w:val="24"/>
          <w:szCs w:val="24"/>
        </w:rPr>
        <w:t>From</w:t>
      </w:r>
      <w:proofErr w:type="gramEnd"/>
      <w:r>
        <w:rPr>
          <w:rFonts w:ascii="Garamond" w:eastAsia="Garamond" w:hAnsi="Garamond" w:cs="Garamond"/>
          <w:color w:val="000000"/>
          <w:sz w:val="24"/>
          <w:szCs w:val="24"/>
        </w:rPr>
        <w:t xml:space="preserve"> Chinese Listed Companies. Environment Development and Sustainability, 26(9), 22775–22800. https://doi.org/10.1007/s10668-023-03575-5</w:t>
      </w:r>
    </w:p>
    <w:p w14:paraId="2BEA2E60" w14:textId="77777777" w:rsidR="00EF00A5" w:rsidRDefault="00000000" w:rsidP="009D487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Wang, H., Li, Q., &amp; Tsai, S. (2022). Network Design Algorithm Implementation for Resilient Transportation System Under Continuous Risk Perturbation </w:t>
      </w:r>
      <w:proofErr w:type="gramStart"/>
      <w:r>
        <w:rPr>
          <w:rFonts w:ascii="Garamond" w:eastAsia="Garamond" w:hAnsi="Garamond" w:cs="Garamond"/>
          <w:color w:val="000000"/>
          <w:sz w:val="24"/>
          <w:szCs w:val="24"/>
        </w:rPr>
        <w:t>With</w:t>
      </w:r>
      <w:proofErr w:type="gramEnd"/>
      <w:r>
        <w:rPr>
          <w:rFonts w:ascii="Garamond" w:eastAsia="Garamond" w:hAnsi="Garamond" w:cs="Garamond"/>
          <w:color w:val="000000"/>
          <w:sz w:val="24"/>
          <w:szCs w:val="24"/>
        </w:rPr>
        <w:t xml:space="preserve"> Big Data Analysis. Mathematical Problems in Engineering, 2022, 1–11. https://doi.org/10.1155/2022/6032899</w:t>
      </w:r>
    </w:p>
    <w:p w14:paraId="5201EE41" w14:textId="77777777" w:rsidR="00EF00A5" w:rsidRDefault="00000000" w:rsidP="009D487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Wang, X., &amp; Zhong, X. (2024). Digital Transformation and Green Innovation: Firm-Level Evidence </w:t>
      </w:r>
      <w:proofErr w:type="gramStart"/>
      <w:r>
        <w:rPr>
          <w:rFonts w:ascii="Garamond" w:eastAsia="Garamond" w:hAnsi="Garamond" w:cs="Garamond"/>
          <w:color w:val="000000"/>
          <w:sz w:val="24"/>
          <w:szCs w:val="24"/>
        </w:rPr>
        <w:t>From</w:t>
      </w:r>
      <w:proofErr w:type="gramEnd"/>
      <w:r>
        <w:rPr>
          <w:rFonts w:ascii="Garamond" w:eastAsia="Garamond" w:hAnsi="Garamond" w:cs="Garamond"/>
          <w:color w:val="000000"/>
          <w:sz w:val="24"/>
          <w:szCs w:val="24"/>
        </w:rPr>
        <w:t xml:space="preserve"> China. Frontiers in Environmental Science, 12. https://doi.org/10.3389/fenvs.2024.1389255</w:t>
      </w:r>
    </w:p>
    <w:p w14:paraId="2F1E1FD9" w14:textId="77777777" w:rsidR="00EF00A5" w:rsidRDefault="00000000" w:rsidP="009D487D">
      <w:pPr>
        <w:pBdr>
          <w:top w:val="nil"/>
          <w:left w:val="nil"/>
          <w:bottom w:val="nil"/>
          <w:right w:val="nil"/>
          <w:between w:val="nil"/>
        </w:pBdr>
        <w:spacing w:before="280" w:after="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Xue, L., Zhang, Q., Zhang, X., &amp; Li, C. (2022). Can Digital Transformation Promote Green Technology Innovation? Sustainability, 14(12), 7497. https://doi.org/10.3390/su14127497</w:t>
      </w:r>
    </w:p>
    <w:p w14:paraId="31B89D1A" w14:textId="77777777" w:rsidR="00EF00A5" w:rsidRDefault="00000000" w:rsidP="009D487D">
      <w:pPr>
        <w:pBdr>
          <w:top w:val="nil"/>
          <w:left w:val="nil"/>
          <w:bottom w:val="nil"/>
          <w:right w:val="nil"/>
          <w:between w:val="nil"/>
        </w:pBdr>
        <w:spacing w:before="280" w:line="276" w:lineRule="auto"/>
        <w:ind w:left="567" w:hanging="567"/>
        <w:jc w:val="both"/>
        <w:rPr>
          <w:rFonts w:ascii="Garamond" w:eastAsia="Garamond" w:hAnsi="Garamond" w:cs="Garamond"/>
          <w:color w:val="000000"/>
          <w:sz w:val="24"/>
          <w:szCs w:val="24"/>
        </w:rPr>
      </w:pPr>
      <w:r>
        <w:rPr>
          <w:rFonts w:ascii="Garamond" w:eastAsia="Garamond" w:hAnsi="Garamond" w:cs="Garamond"/>
          <w:color w:val="000000"/>
          <w:sz w:val="24"/>
          <w:szCs w:val="24"/>
        </w:rPr>
        <w:t>Zhao, G. (2025). How Digital Leadership Impacts Community Resilience: A Moderated Mediation Model. Frontiers in Public Health, 13. https://doi.org/10.3389/fpubh.2025.1524985</w:t>
      </w:r>
    </w:p>
    <w:sectPr w:rsidR="00EF00A5" w:rsidSect="009D487D">
      <w:headerReference w:type="even" r:id="rId10"/>
      <w:headerReference w:type="default" r:id="rId11"/>
      <w:footerReference w:type="default" r:id="rId12"/>
      <w:headerReference w:type="first" r:id="rId13"/>
      <w:footerReference w:type="first" r:id="rId14"/>
      <w:pgSz w:w="11906" w:h="16838"/>
      <w:pgMar w:top="1440" w:right="1440" w:bottom="1440" w:left="1440" w:header="708" w:footer="708" w:gutter="0"/>
      <w:pgNumType w:start="20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592DD0" w14:textId="77777777" w:rsidR="0060090C" w:rsidRDefault="0060090C">
      <w:pPr>
        <w:spacing w:after="0" w:line="240" w:lineRule="auto"/>
      </w:pPr>
      <w:r>
        <w:separator/>
      </w:r>
    </w:p>
  </w:endnote>
  <w:endnote w:type="continuationSeparator" w:id="0">
    <w:p w14:paraId="2A2AB6C2" w14:textId="77777777" w:rsidR="0060090C" w:rsidRDefault="00600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9A65B9DC-0533-46EB-B8FE-AA05957A7E5E}"/>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EF308E6C-3040-4864-8456-F26430D7A805}"/>
    <w:embedBold r:id="rId3" w:fontKey="{358071DC-4B4E-45E4-84FB-DFD98C115B6A}"/>
    <w:embedItalic r:id="rId4" w:fontKey="{A3D28546-1076-4395-94C6-A27AEC051315}"/>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5" w:fontKey="{FCC551D9-D20F-4403-96FE-D1994574DD68}"/>
    <w:embedItalic r:id="rId6" w:fontKey="{5655496A-CC8E-4C75-9F6B-0C2CDBC5B648}"/>
  </w:font>
  <w:font w:name="Segoe UI">
    <w:panose1 w:val="020B0502040204020203"/>
    <w:charset w:val="00"/>
    <w:family w:val="swiss"/>
    <w:pitch w:val="variable"/>
    <w:sig w:usb0="E4002EFF" w:usb1="C000E47F" w:usb2="00000009" w:usb3="00000000" w:csb0="000001FF" w:csb1="00000000"/>
    <w:embedRegular r:id="rId7" w:fontKey="{FE9774FD-AFD8-4032-AA02-B7B182DCD081}"/>
  </w:font>
  <w:font w:name="Georgia">
    <w:panose1 w:val="02040502050405020303"/>
    <w:charset w:val="00"/>
    <w:family w:val="roman"/>
    <w:pitch w:val="variable"/>
    <w:sig w:usb0="00000287" w:usb1="00000000" w:usb2="00000000" w:usb3="00000000" w:csb0="0000009F" w:csb1="00000000"/>
    <w:embedRegular r:id="rId8" w:fontKey="{C11705BD-28D1-4FDF-81D4-E5694FC25DA6}"/>
    <w:embedItalic r:id="rId9" w:fontKey="{24AC20DF-6D9C-4152-988A-5BCC7A022137}"/>
  </w:font>
  <w:font w:name="Garamond">
    <w:panose1 w:val="02020404030301010803"/>
    <w:charset w:val="00"/>
    <w:family w:val="roman"/>
    <w:pitch w:val="variable"/>
    <w:sig w:usb0="00000287" w:usb1="00000000" w:usb2="00000000" w:usb3="00000000" w:csb0="0000009F" w:csb1="00000000"/>
    <w:embedRegular r:id="rId10" w:fontKey="{883EC6FA-FDCF-4CEE-88E4-5627C0049DA4}"/>
    <w:embedBold r:id="rId11" w:fontKey="{26CA6D3F-9C57-421C-81EF-E2510879813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embedRegular r:id="rId12" w:fontKey="{339ECE2F-5DBF-40A2-8E0A-97F16590448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C21C3" w14:textId="1A10AD35" w:rsidR="00EF00A5" w:rsidRDefault="00000000">
    <w:pPr>
      <w:pBdr>
        <w:top w:val="single" w:sz="4" w:space="1" w:color="D9D9D9"/>
        <w:left w:val="nil"/>
        <w:bottom w:val="nil"/>
        <w:right w:val="nil"/>
        <w:between w:val="nil"/>
      </w:pBdr>
      <w:tabs>
        <w:tab w:val="center" w:pos="4680"/>
        <w:tab w:val="right" w:pos="9360"/>
        <w:tab w:val="left" w:pos="8910"/>
      </w:tabs>
      <w:spacing w:after="0" w:line="240" w:lineRule="auto"/>
      <w:rPr>
        <w:rFonts w:ascii="Garamond" w:eastAsia="Garamond" w:hAnsi="Garamond" w:cs="Garamond"/>
        <w:b/>
        <w:color w:val="000000"/>
        <w:sz w:val="20"/>
        <w:szCs w:val="20"/>
      </w:rPr>
    </w:pPr>
    <w:r w:rsidRPr="009D487D">
      <w:rPr>
        <w:rFonts w:ascii="Garamond" w:eastAsia="Garamond" w:hAnsi="Garamond" w:cs="Garamond"/>
        <w:b/>
        <w:bCs/>
        <w:color w:val="000000"/>
        <w:sz w:val="20"/>
        <w:szCs w:val="20"/>
      </w:rPr>
      <w:fldChar w:fldCharType="begin"/>
    </w:r>
    <w:r w:rsidRPr="009D487D">
      <w:rPr>
        <w:rFonts w:ascii="Garamond" w:eastAsia="Garamond" w:hAnsi="Garamond" w:cs="Garamond"/>
        <w:b/>
        <w:bCs/>
        <w:color w:val="000000"/>
        <w:sz w:val="20"/>
        <w:szCs w:val="20"/>
      </w:rPr>
      <w:instrText>PAGE</w:instrText>
    </w:r>
    <w:r w:rsidRPr="009D487D">
      <w:rPr>
        <w:rFonts w:ascii="Garamond" w:eastAsia="Garamond" w:hAnsi="Garamond" w:cs="Garamond"/>
        <w:b/>
        <w:bCs/>
        <w:color w:val="000000"/>
        <w:sz w:val="20"/>
        <w:szCs w:val="20"/>
      </w:rPr>
      <w:fldChar w:fldCharType="separate"/>
    </w:r>
    <w:r w:rsidR="009D487D" w:rsidRPr="009D487D">
      <w:rPr>
        <w:rFonts w:ascii="Garamond" w:eastAsia="Garamond" w:hAnsi="Garamond" w:cs="Garamond"/>
        <w:b/>
        <w:bCs/>
        <w:noProof/>
        <w:color w:val="000000"/>
        <w:sz w:val="20"/>
        <w:szCs w:val="20"/>
      </w:rPr>
      <w:t>2</w:t>
    </w:r>
    <w:r w:rsidRPr="009D487D">
      <w:rPr>
        <w:rFonts w:ascii="Garamond" w:eastAsia="Garamond" w:hAnsi="Garamond" w:cs="Garamond"/>
        <w:b/>
        <w:bCs/>
        <w:color w:val="000000"/>
        <w:sz w:val="20"/>
        <w:szCs w:val="20"/>
      </w:rPr>
      <w:fldChar w:fldCharType="end"/>
    </w:r>
    <w:r>
      <w:rPr>
        <w:rFonts w:ascii="Garamond" w:eastAsia="Garamond" w:hAnsi="Garamond" w:cs="Garamond"/>
        <w:b/>
        <w:color w:val="000000"/>
        <w:sz w:val="20"/>
        <w:szCs w:val="20"/>
      </w:rPr>
      <w:t xml:space="preserve"> | </w:t>
    </w:r>
    <w:proofErr w:type="spellStart"/>
    <w:r>
      <w:rPr>
        <w:rFonts w:ascii="Garamond" w:eastAsia="Garamond" w:hAnsi="Garamond" w:cs="Garamond"/>
        <w:color w:val="000000"/>
        <w:sz w:val="20"/>
        <w:szCs w:val="20"/>
      </w:rPr>
      <w:t>Novatio</w:t>
    </w:r>
    <w:proofErr w:type="spellEnd"/>
    <w:r>
      <w:rPr>
        <w:rFonts w:ascii="Garamond" w:eastAsia="Garamond" w:hAnsi="Garamond" w:cs="Garamond"/>
        <w:color w:val="000000"/>
        <w:sz w:val="20"/>
        <w:szCs w:val="20"/>
      </w:rPr>
      <w:t xml:space="preserve">: Journal of Management Technology and Innovation                </w:t>
    </w:r>
    <w:hyperlink r:id="rId1">
      <w:r w:rsidR="00EF00A5">
        <w:rPr>
          <w:rFonts w:ascii="Garamond" w:eastAsia="Garamond" w:hAnsi="Garamond" w:cs="Garamond"/>
          <w:color w:val="0000FF"/>
          <w:sz w:val="20"/>
          <w:szCs w:val="20"/>
          <w:u w:val="single"/>
        </w:rPr>
        <w:t>https://journal.idscipub.com/novatio</w:t>
      </w:r>
    </w:hyperlink>
    <w:r>
      <w:rPr>
        <w:rFonts w:ascii="Garamond" w:eastAsia="Garamond" w:hAnsi="Garamond" w:cs="Garamond"/>
        <w:color w:val="000000"/>
        <w:sz w:val="20"/>
        <w:szCs w:val="20"/>
      </w:rPr>
      <w:t xml:space="preserve">                          </w:t>
    </w:r>
    <w:r>
      <w:rPr>
        <w:rFonts w:ascii="Garamond" w:eastAsia="Garamond" w:hAnsi="Garamond" w:cs="Garamond"/>
        <w:color w:val="7F7F7F"/>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3E3D0" w14:textId="5FBE4CE0" w:rsidR="00EF00A5" w:rsidRDefault="00000000">
    <w:pPr>
      <w:pBdr>
        <w:top w:val="single" w:sz="4" w:space="1" w:color="D9D9D9"/>
        <w:left w:val="nil"/>
        <w:bottom w:val="nil"/>
        <w:right w:val="nil"/>
        <w:between w:val="nil"/>
      </w:pBdr>
      <w:tabs>
        <w:tab w:val="center" w:pos="4680"/>
        <w:tab w:val="right" w:pos="9360"/>
        <w:tab w:val="left" w:pos="8910"/>
      </w:tabs>
      <w:spacing w:after="0" w:line="240" w:lineRule="auto"/>
      <w:rPr>
        <w:rFonts w:ascii="Garamond" w:eastAsia="Garamond" w:hAnsi="Garamond" w:cs="Garamond"/>
        <w:b/>
        <w:color w:val="000000"/>
        <w:sz w:val="20"/>
        <w:szCs w:val="20"/>
      </w:rPr>
    </w:pPr>
    <w:r w:rsidRPr="009D487D">
      <w:rPr>
        <w:rFonts w:ascii="Garamond" w:eastAsia="Garamond" w:hAnsi="Garamond" w:cs="Garamond"/>
        <w:b/>
        <w:bCs/>
        <w:color w:val="000000"/>
        <w:sz w:val="20"/>
        <w:szCs w:val="20"/>
      </w:rPr>
      <w:fldChar w:fldCharType="begin"/>
    </w:r>
    <w:r w:rsidRPr="009D487D">
      <w:rPr>
        <w:rFonts w:ascii="Garamond" w:eastAsia="Garamond" w:hAnsi="Garamond" w:cs="Garamond"/>
        <w:b/>
        <w:bCs/>
        <w:color w:val="000000"/>
        <w:sz w:val="20"/>
        <w:szCs w:val="20"/>
      </w:rPr>
      <w:instrText>PAGE</w:instrText>
    </w:r>
    <w:r w:rsidRPr="009D487D">
      <w:rPr>
        <w:rFonts w:ascii="Garamond" w:eastAsia="Garamond" w:hAnsi="Garamond" w:cs="Garamond"/>
        <w:b/>
        <w:bCs/>
        <w:color w:val="000000"/>
        <w:sz w:val="20"/>
        <w:szCs w:val="20"/>
      </w:rPr>
      <w:fldChar w:fldCharType="separate"/>
    </w:r>
    <w:r w:rsidR="009D487D" w:rsidRPr="009D487D">
      <w:rPr>
        <w:rFonts w:ascii="Garamond" w:eastAsia="Garamond" w:hAnsi="Garamond" w:cs="Garamond"/>
        <w:b/>
        <w:bCs/>
        <w:noProof/>
        <w:color w:val="000000"/>
        <w:sz w:val="20"/>
        <w:szCs w:val="20"/>
      </w:rPr>
      <w:t>1</w:t>
    </w:r>
    <w:r w:rsidRPr="009D487D">
      <w:rPr>
        <w:rFonts w:ascii="Garamond" w:eastAsia="Garamond" w:hAnsi="Garamond" w:cs="Garamond"/>
        <w:b/>
        <w:bCs/>
        <w:color w:val="000000"/>
        <w:sz w:val="20"/>
        <w:szCs w:val="20"/>
      </w:rPr>
      <w:fldChar w:fldCharType="end"/>
    </w:r>
    <w:r>
      <w:rPr>
        <w:rFonts w:ascii="Garamond" w:eastAsia="Garamond" w:hAnsi="Garamond" w:cs="Garamond"/>
        <w:b/>
        <w:color w:val="000000"/>
        <w:sz w:val="20"/>
        <w:szCs w:val="20"/>
      </w:rPr>
      <w:t xml:space="preserve"> | </w:t>
    </w:r>
    <w:proofErr w:type="spellStart"/>
    <w:r>
      <w:rPr>
        <w:rFonts w:ascii="Garamond" w:eastAsia="Garamond" w:hAnsi="Garamond" w:cs="Garamond"/>
        <w:color w:val="000000"/>
        <w:sz w:val="20"/>
        <w:szCs w:val="20"/>
      </w:rPr>
      <w:t>Novatio</w:t>
    </w:r>
    <w:proofErr w:type="spellEnd"/>
    <w:r>
      <w:rPr>
        <w:rFonts w:ascii="Garamond" w:eastAsia="Garamond" w:hAnsi="Garamond" w:cs="Garamond"/>
        <w:color w:val="000000"/>
        <w:sz w:val="20"/>
        <w:szCs w:val="20"/>
      </w:rPr>
      <w:t xml:space="preserve">: Journal of Management Technology and Innovation                </w:t>
    </w:r>
    <w:hyperlink r:id="rId1" w:history="1">
      <w:r w:rsidR="009D487D" w:rsidRPr="00D8405D">
        <w:rPr>
          <w:rStyle w:val="Hyperlink"/>
          <w:rFonts w:ascii="Garamond" w:eastAsia="Garamond" w:hAnsi="Garamond" w:cs="Garamond"/>
          <w:sz w:val="20"/>
          <w:szCs w:val="20"/>
        </w:rPr>
        <w:t>https://journal.idscipub.com/novatio</w:t>
      </w:r>
    </w:hyperlink>
    <w:r>
      <w:rPr>
        <w:rFonts w:ascii="Garamond" w:eastAsia="Garamond" w:hAnsi="Garamond" w:cs="Garamond"/>
        <w:color w:val="000000"/>
        <w:sz w:val="20"/>
        <w:szCs w:val="20"/>
      </w:rPr>
      <w:t xml:space="preserve">                          </w:t>
    </w:r>
    <w:r>
      <w:rPr>
        <w:rFonts w:ascii="Garamond" w:eastAsia="Garamond" w:hAnsi="Garamond" w:cs="Garamond"/>
        <w:color w:val="7F7F7F"/>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8396B4" w14:textId="77777777" w:rsidR="0060090C" w:rsidRDefault="0060090C">
      <w:pPr>
        <w:spacing w:after="0" w:line="240" w:lineRule="auto"/>
      </w:pPr>
      <w:r>
        <w:separator/>
      </w:r>
    </w:p>
  </w:footnote>
  <w:footnote w:type="continuationSeparator" w:id="0">
    <w:p w14:paraId="29279385" w14:textId="77777777" w:rsidR="0060090C" w:rsidRDefault="006009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A7B4F" w14:textId="77777777" w:rsidR="00EF00A5" w:rsidRDefault="00000000">
    <w:pPr>
      <w:pStyle w:val="Title"/>
      <w:spacing w:line="276" w:lineRule="auto"/>
      <w:rPr>
        <w:rFonts w:ascii="Garamond" w:eastAsia="Garamond" w:hAnsi="Garamond" w:cs="Garamond"/>
        <w:sz w:val="22"/>
        <w:szCs w:val="22"/>
      </w:rPr>
    </w:pPr>
    <w:proofErr w:type="spellStart"/>
    <w:r>
      <w:rPr>
        <w:rFonts w:ascii="Garamond" w:eastAsia="Garamond" w:hAnsi="Garamond" w:cs="Garamond"/>
        <w:sz w:val="22"/>
        <w:szCs w:val="22"/>
      </w:rPr>
      <w:t>Pengaruh</w:t>
    </w:r>
    <w:proofErr w:type="spellEnd"/>
    <w:r>
      <w:rPr>
        <w:rFonts w:ascii="Garamond" w:eastAsia="Garamond" w:hAnsi="Garamond" w:cs="Garamond"/>
        <w:sz w:val="22"/>
        <w:szCs w:val="22"/>
      </w:rPr>
      <w:t xml:space="preserve"> Strategi </w:t>
    </w:r>
    <w:proofErr w:type="spellStart"/>
    <w:r>
      <w:rPr>
        <w:rFonts w:ascii="Garamond" w:eastAsia="Garamond" w:hAnsi="Garamond" w:cs="Garamond"/>
        <w:sz w:val="22"/>
        <w:szCs w:val="22"/>
      </w:rPr>
      <w:t>Pemasaran</w:t>
    </w:r>
    <w:proofErr w:type="spellEnd"/>
    <w:r>
      <w:rPr>
        <w:rFonts w:ascii="Garamond" w:eastAsia="Garamond" w:hAnsi="Garamond" w:cs="Garamond"/>
        <w:sz w:val="22"/>
        <w:szCs w:val="22"/>
      </w:rPr>
      <w:t xml:space="preserve"> Dan </w:t>
    </w:r>
    <w:proofErr w:type="spellStart"/>
    <w:r>
      <w:rPr>
        <w:rFonts w:ascii="Garamond" w:eastAsia="Garamond" w:hAnsi="Garamond" w:cs="Garamond"/>
        <w:sz w:val="22"/>
        <w:szCs w:val="22"/>
      </w:rPr>
      <w:t>Kualitas</w:t>
    </w:r>
    <w:proofErr w:type="spellEnd"/>
    <w:r>
      <w:rPr>
        <w:rFonts w:ascii="Garamond" w:eastAsia="Garamond" w:hAnsi="Garamond" w:cs="Garamond"/>
        <w:sz w:val="22"/>
        <w:szCs w:val="22"/>
      </w:rPr>
      <w:t xml:space="preserve"> </w:t>
    </w:r>
    <w:proofErr w:type="gramStart"/>
    <w:r>
      <w:rPr>
        <w:rFonts w:ascii="Garamond" w:eastAsia="Garamond" w:hAnsi="Garamond" w:cs="Garamond"/>
        <w:sz w:val="22"/>
        <w:szCs w:val="22"/>
      </w:rPr>
      <w:t xml:space="preserve">Layanan  </w:t>
    </w:r>
    <w:proofErr w:type="spellStart"/>
    <w:r>
      <w:rPr>
        <w:rFonts w:ascii="Garamond" w:eastAsia="Garamond" w:hAnsi="Garamond" w:cs="Garamond"/>
        <w:sz w:val="22"/>
        <w:szCs w:val="22"/>
      </w:rPr>
      <w:t>Terhadap</w:t>
    </w:r>
    <w:proofErr w:type="spellEnd"/>
    <w:proofErr w:type="gramEnd"/>
    <w:r>
      <w:rPr>
        <w:rFonts w:ascii="Garamond" w:eastAsia="Garamond" w:hAnsi="Garamond" w:cs="Garamond"/>
        <w:sz w:val="22"/>
        <w:szCs w:val="22"/>
      </w:rPr>
      <w:t xml:space="preserve"> Keputusan Orang Tua </w:t>
    </w:r>
    <w:proofErr w:type="spellStart"/>
    <w:r>
      <w:rPr>
        <w:rFonts w:ascii="Garamond" w:eastAsia="Garamond" w:hAnsi="Garamond" w:cs="Garamond"/>
        <w:sz w:val="22"/>
        <w:szCs w:val="22"/>
      </w:rPr>
      <w:t>Siswa</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A1694" w14:textId="77777777" w:rsidR="00EF00A5" w:rsidRDefault="00000000">
    <w:pPr>
      <w:pBdr>
        <w:top w:val="nil"/>
        <w:left w:val="nil"/>
        <w:bottom w:val="nil"/>
        <w:right w:val="nil"/>
        <w:between w:val="nil"/>
      </w:pBdr>
      <w:tabs>
        <w:tab w:val="center" w:pos="4680"/>
        <w:tab w:val="right" w:pos="9360"/>
      </w:tabs>
      <w:spacing w:after="0" w:line="240" w:lineRule="auto"/>
      <w:rPr>
        <w:rFonts w:ascii="Garamond" w:eastAsia="Garamond" w:hAnsi="Garamond" w:cs="Garamond"/>
        <w:b/>
        <w:color w:val="000000"/>
      </w:rPr>
    </w:pPr>
    <w:r>
      <w:rPr>
        <w:rFonts w:ascii="Garamond" w:eastAsia="Garamond" w:hAnsi="Garamond" w:cs="Garamond"/>
        <w:b/>
        <w:color w:val="000000"/>
      </w:rPr>
      <w:t xml:space="preserve">Digital–Green Synergies in Practice: How Emerging and Developed Markets Integrate </w:t>
    </w:r>
  </w:p>
  <w:p w14:paraId="2A40E8D5" w14:textId="77777777" w:rsidR="00EF00A5" w:rsidRDefault="00000000">
    <w:pPr>
      <w:pBdr>
        <w:top w:val="nil"/>
        <w:left w:val="nil"/>
        <w:bottom w:val="nil"/>
        <w:right w:val="nil"/>
        <w:between w:val="nil"/>
      </w:pBdr>
      <w:tabs>
        <w:tab w:val="center" w:pos="4680"/>
        <w:tab w:val="right" w:pos="9360"/>
      </w:tabs>
      <w:spacing w:after="0" w:line="240" w:lineRule="auto"/>
      <w:rPr>
        <w:rFonts w:ascii="Garamond" w:eastAsia="Garamond" w:hAnsi="Garamond" w:cs="Garamond"/>
        <w:b/>
        <w:color w:val="000000"/>
      </w:rPr>
    </w:pPr>
    <w:r>
      <w:rPr>
        <w:rFonts w:ascii="Garamond" w:eastAsia="Garamond" w:hAnsi="Garamond" w:cs="Garamond"/>
        <w:b/>
        <w:color w:val="000000"/>
      </w:rPr>
      <w:t>Technology for Sustainable Value Creation</w:t>
    </w:r>
  </w:p>
  <w:p w14:paraId="036E5823" w14:textId="2AB3FA47" w:rsidR="009D487D" w:rsidRPr="00250C0C" w:rsidRDefault="009D487D" w:rsidP="009D487D">
    <w:pPr>
      <w:pBdr>
        <w:top w:val="nil"/>
        <w:left w:val="nil"/>
        <w:bottom w:val="nil"/>
        <w:right w:val="nil"/>
        <w:between w:val="nil"/>
      </w:pBdr>
      <w:tabs>
        <w:tab w:val="center" w:pos="4680"/>
        <w:tab w:val="right" w:pos="9360"/>
      </w:tabs>
      <w:spacing w:after="0" w:line="240" w:lineRule="auto"/>
      <w:rPr>
        <w:rFonts w:ascii="Garamond" w:eastAsia="Garamond" w:hAnsi="Garamond" w:cs="Garamond"/>
        <w:bCs/>
        <w:color w:val="000000"/>
      </w:rPr>
    </w:pPr>
    <w:bookmarkStart w:id="1" w:name="_Hlk210730639"/>
    <w:bookmarkStart w:id="2" w:name="_Hlk210730640"/>
    <w:bookmarkStart w:id="3" w:name="_Hlk210730645"/>
    <w:bookmarkStart w:id="4" w:name="_Hlk210730646"/>
    <w:proofErr w:type="spellStart"/>
    <w:r>
      <w:rPr>
        <w:rFonts w:ascii="Garamond" w:eastAsia="Garamond" w:hAnsi="Garamond" w:cs="Garamond"/>
        <w:bCs/>
        <w:color w:val="000000"/>
      </w:rPr>
      <w:t>Sunarno</w:t>
    </w:r>
    <w:proofErr w:type="spellEnd"/>
    <w:r>
      <w:rPr>
        <w:rFonts w:ascii="Garamond" w:eastAsia="Garamond" w:hAnsi="Garamond" w:cs="Garamond"/>
        <w:bCs/>
        <w:color w:val="000000"/>
      </w:rPr>
      <w:t xml:space="preserve">, </w:t>
    </w:r>
    <w:proofErr w:type="spellStart"/>
    <w:r>
      <w:rPr>
        <w:rFonts w:ascii="Garamond" w:eastAsia="Garamond" w:hAnsi="Garamond" w:cs="Garamond"/>
        <w:bCs/>
        <w:color w:val="000000"/>
      </w:rPr>
      <w:t>Diantoro</w:t>
    </w:r>
    <w:proofErr w:type="spellEnd"/>
    <w:r>
      <w:rPr>
        <w:rFonts w:ascii="Garamond" w:eastAsia="Garamond" w:hAnsi="Garamond" w:cs="Garamond"/>
        <w:bCs/>
        <w:color w:val="000000"/>
      </w:rPr>
      <w:t xml:space="preserve">, and </w:t>
    </w:r>
    <w:proofErr w:type="spellStart"/>
    <w:r>
      <w:rPr>
        <w:rFonts w:ascii="Garamond" w:eastAsia="Garamond" w:hAnsi="Garamond" w:cs="Garamond"/>
        <w:bCs/>
        <w:color w:val="000000"/>
      </w:rPr>
      <w:t>Marthalia</w:t>
    </w:r>
    <w:proofErr w:type="spellEnd"/>
  </w:p>
  <w:p w14:paraId="17310EA5" w14:textId="57A1717D" w:rsidR="00EF00A5" w:rsidRPr="009D487D" w:rsidRDefault="009D487D">
    <w:pPr>
      <w:pBdr>
        <w:top w:val="nil"/>
        <w:left w:val="nil"/>
        <w:bottom w:val="nil"/>
        <w:right w:val="nil"/>
        <w:between w:val="nil"/>
      </w:pBdr>
      <w:tabs>
        <w:tab w:val="center" w:pos="4680"/>
        <w:tab w:val="right" w:pos="9360"/>
      </w:tabs>
      <w:spacing w:after="0" w:line="240" w:lineRule="auto"/>
      <w:rPr>
        <w:rFonts w:ascii="Garamond" w:hAnsi="Garamond"/>
        <w:color w:val="000000"/>
      </w:rPr>
    </w:pPr>
    <w:r>
      <w:rPr>
        <w:noProof/>
      </w:rPr>
      <mc:AlternateContent>
        <mc:Choice Requires="wps">
          <w:drawing>
            <wp:anchor distT="0" distB="0" distL="114300" distR="114300" simplePos="0" relativeHeight="251671552" behindDoc="0" locked="0" layoutInCell="1" hidden="0" allowOverlap="1" wp14:anchorId="6C36FEED" wp14:editId="14DEB9BE">
              <wp:simplePos x="0" y="0"/>
              <wp:positionH relativeFrom="column">
                <wp:posOffset>1</wp:posOffset>
              </wp:positionH>
              <wp:positionV relativeFrom="paragraph">
                <wp:posOffset>77470</wp:posOffset>
              </wp:positionV>
              <wp:extent cx="0" cy="12700"/>
              <wp:effectExtent l="0" t="0" r="0" b="0"/>
              <wp:wrapNone/>
              <wp:docPr id="1656005293" name="Straight Arrow Connector 1656005293"/>
              <wp:cNvGraphicFramePr/>
              <a:graphic xmlns:a="http://schemas.openxmlformats.org/drawingml/2006/main">
                <a:graphicData uri="http://schemas.microsoft.com/office/word/2010/wordprocessingShape">
                  <wps:wsp>
                    <wps:cNvCnPr/>
                    <wps:spPr>
                      <a:xfrm>
                        <a:off x="2471673" y="3780000"/>
                        <a:ext cx="574865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type w14:anchorId="1677FA2B" id="_x0000_t32" coordsize="21600,21600" o:spt="32" o:oned="t" path="m,l21600,21600e" filled="f">
              <v:path arrowok="t" fillok="f" o:connecttype="none"/>
              <o:lock v:ext="edit" shapetype="t"/>
            </v:shapetype>
            <v:shape id="Straight Arrow Connector 1656005293" o:spid="_x0000_s1026" type="#_x0000_t32" style="position:absolute;margin-left:0;margin-top:6.1pt;width:0;height:1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" strokecolor="black [3200]">
              <v:stroke startarrowwidth="narrow" startarrowlength="short" endarrowwidth="narrow" endarrowlength="short" joinstyle="miter"/>
            </v:shape>
          </w:pict>
        </mc:Fallback>
      </mc:AlternateContent>
    </w:r>
    <w:r w:rsidRPr="00F31144">
      <w:rPr>
        <w:rFonts w:ascii="Garamond" w:hAnsi="Garamond"/>
        <w:noProof/>
        <w:color w:val="000000"/>
      </w:rPr>
      <mc:AlternateContent>
        <mc:Choice Requires="wps">
          <w:drawing>
            <wp:anchor distT="0" distB="0" distL="114300" distR="114300" simplePos="0" relativeHeight="251688960" behindDoc="0" locked="0" layoutInCell="1" allowOverlap="1" wp14:anchorId="3F887A60" wp14:editId="71CB923C">
              <wp:simplePos x="0" y="0"/>
              <wp:positionH relativeFrom="column">
                <wp:posOffset>0</wp:posOffset>
              </wp:positionH>
              <wp:positionV relativeFrom="paragraph">
                <wp:posOffset>83820</wp:posOffset>
              </wp:positionV>
              <wp:extent cx="5748655" cy="0"/>
              <wp:effectExtent l="0" t="0" r="0" b="0"/>
              <wp:wrapNone/>
              <wp:docPr id="2108589428" name="Straight Connector 7"/>
              <wp:cNvGraphicFramePr/>
              <a:graphic xmlns:a="http://schemas.openxmlformats.org/drawingml/2006/main">
                <a:graphicData uri="http://schemas.microsoft.com/office/word/2010/wordprocessingShape">
                  <wps:wsp>
                    <wps:cNvCnPr/>
                    <wps:spPr>
                      <a:xfrm>
                        <a:off x="0" y="0"/>
                        <a:ext cx="57486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4F2472" id="Straight Connector 7"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0,6.6pt" to="452.6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" strokecolor="black [3200]" strokeweight=".5pt">
              <v:stroke joinstyle="miter"/>
            </v:line>
          </w:pict>
        </mc:Fallback>
      </mc:AlternateContent>
    </w:r>
    <w:r w:rsidRPr="00F31144">
      <w:rPr>
        <w:rFonts w:ascii="Garamond" w:hAnsi="Garamond"/>
        <w:noProof/>
      </w:rPr>
      <mc:AlternateContent>
        <mc:Choice Requires="wps">
          <w:drawing>
            <wp:anchor distT="0" distB="0" distL="114300" distR="114300" simplePos="0" relativeHeight="251687936" behindDoc="0" locked="0" layoutInCell="1" hidden="0" allowOverlap="1" wp14:anchorId="29B5EE13" wp14:editId="437B267E">
              <wp:simplePos x="0" y="0"/>
              <wp:positionH relativeFrom="column">
                <wp:posOffset>1</wp:posOffset>
              </wp:positionH>
              <wp:positionV relativeFrom="paragraph">
                <wp:posOffset>77470</wp:posOffset>
              </wp:positionV>
              <wp:extent cx="0" cy="12700"/>
              <wp:effectExtent l="0" t="0" r="0" b="0"/>
              <wp:wrapNone/>
              <wp:docPr id="896159594" name="Straight Arrow Connector 896159594"/>
              <wp:cNvGraphicFramePr/>
              <a:graphic xmlns:a="http://schemas.openxmlformats.org/drawingml/2006/main">
                <a:graphicData uri="http://schemas.microsoft.com/office/word/2010/wordprocessingShape">
                  <wps:wsp>
                    <wps:cNvCnPr/>
                    <wps:spPr>
                      <a:xfrm>
                        <a:off x="2471673" y="3780000"/>
                        <a:ext cx="574865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0355E6DC" id="Straight Arrow Connector 896159594" o:spid="_x0000_s1026" type="#_x0000_t32" style="position:absolute;margin-left:0;margin-top:6.1pt;width:0;height:1pt;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" strokecolor="black [3200]">
              <v:stroke startarrowwidth="narrow" startarrowlength="short" endarrowwidth="narrow" endarrowlength="short" joinstyle="miter"/>
            </v:shape>
          </w:pict>
        </mc:Fallback>
      </mc:AlternateContent>
    </w:r>
    <w:r w:rsidRPr="00F31144">
      <w:rPr>
        <w:rFonts w:ascii="Garamond" w:hAnsi="Garamond"/>
        <w:noProof/>
      </w:rPr>
      <mc:AlternateContent>
        <mc:Choice Requires="wps">
          <w:drawing>
            <wp:anchor distT="0" distB="0" distL="114300" distR="114300" simplePos="0" relativeHeight="251686912" behindDoc="0" locked="0" layoutInCell="1" hidden="0" allowOverlap="1" wp14:anchorId="66809693" wp14:editId="6E1D6755">
              <wp:simplePos x="0" y="0"/>
              <wp:positionH relativeFrom="column">
                <wp:posOffset>1</wp:posOffset>
              </wp:positionH>
              <wp:positionV relativeFrom="paragraph">
                <wp:posOffset>77470</wp:posOffset>
              </wp:positionV>
              <wp:extent cx="0" cy="12700"/>
              <wp:effectExtent l="0" t="0" r="0" b="0"/>
              <wp:wrapNone/>
              <wp:docPr id="1709214711" name="Straight Arrow Connector 1709214711"/>
              <wp:cNvGraphicFramePr/>
              <a:graphic xmlns:a="http://schemas.openxmlformats.org/drawingml/2006/main">
                <a:graphicData uri="http://schemas.microsoft.com/office/word/2010/wordprocessingShape">
                  <wps:wsp>
                    <wps:cNvCnPr/>
                    <wps:spPr>
                      <a:xfrm>
                        <a:off x="2471673" y="3780000"/>
                        <a:ext cx="574865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7269A7AB" id="Straight Arrow Connector 1709214711" o:spid="_x0000_s1026" type="#_x0000_t32" style="position:absolute;margin-left:0;margin-top:6.1pt;width:0;height:1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" strokecolor="black [3200]">
              <v:stroke startarrowwidth="narrow" startarrowlength="short" endarrowwidth="narrow" endarrowlength="short" joinstyle="miter"/>
            </v:shape>
          </w:pict>
        </mc:Fallback>
      </mc:AlternateContent>
    </w:r>
    <w:r w:rsidRPr="00F31144">
      <w:rPr>
        <w:rFonts w:ascii="Garamond" w:hAnsi="Garamond"/>
        <w:noProof/>
      </w:rPr>
      <mc:AlternateContent>
        <mc:Choice Requires="wps">
          <w:drawing>
            <wp:anchor distT="0" distB="0" distL="114300" distR="114300" simplePos="0" relativeHeight="251685888" behindDoc="0" locked="0" layoutInCell="1" hidden="0" allowOverlap="1" wp14:anchorId="7912113A" wp14:editId="452BC6E5">
              <wp:simplePos x="0" y="0"/>
              <wp:positionH relativeFrom="column">
                <wp:posOffset>1</wp:posOffset>
              </wp:positionH>
              <wp:positionV relativeFrom="paragraph">
                <wp:posOffset>77470</wp:posOffset>
              </wp:positionV>
              <wp:extent cx="0" cy="12700"/>
              <wp:effectExtent l="0" t="0" r="0" b="0"/>
              <wp:wrapNone/>
              <wp:docPr id="206184987" name="Straight Arrow Connector 206184987"/>
              <wp:cNvGraphicFramePr/>
              <a:graphic xmlns:a="http://schemas.openxmlformats.org/drawingml/2006/main">
                <a:graphicData uri="http://schemas.microsoft.com/office/word/2010/wordprocessingShape">
                  <wps:wsp>
                    <wps:cNvCnPr/>
                    <wps:spPr>
                      <a:xfrm>
                        <a:off x="2471673" y="3780000"/>
                        <a:ext cx="574865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0D6886D9" id="Straight Arrow Connector 206184987" o:spid="_x0000_s1026" type="#_x0000_t32" style="position:absolute;margin-left:0;margin-top:6.1pt;width:0;height:1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" strokecolor="black [3200]">
              <v:stroke startarrowwidth="narrow" startarrowlength="short" endarrowwidth="narrow" endarrowlength="short" joinstyle="miter"/>
            </v:shape>
          </w:pict>
        </mc:Fallback>
      </mc:AlternateContent>
    </w:r>
    <w:r w:rsidRPr="00F31144">
      <w:rPr>
        <w:rFonts w:ascii="Garamond" w:hAnsi="Garamond"/>
        <w:noProof/>
      </w:rPr>
      <mc:AlternateContent>
        <mc:Choice Requires="wps">
          <w:drawing>
            <wp:anchor distT="0" distB="0" distL="114300" distR="114300" simplePos="0" relativeHeight="251684864" behindDoc="0" locked="0" layoutInCell="1" hidden="0" allowOverlap="1" wp14:anchorId="3B7A1D87" wp14:editId="56CB91D1">
              <wp:simplePos x="0" y="0"/>
              <wp:positionH relativeFrom="column">
                <wp:posOffset>1</wp:posOffset>
              </wp:positionH>
              <wp:positionV relativeFrom="paragraph">
                <wp:posOffset>77470</wp:posOffset>
              </wp:positionV>
              <wp:extent cx="0" cy="12700"/>
              <wp:effectExtent l="0" t="0" r="0" b="0"/>
              <wp:wrapNone/>
              <wp:docPr id="2128252983" name="Straight Arrow Connector 2128252983"/>
              <wp:cNvGraphicFramePr/>
              <a:graphic xmlns:a="http://schemas.openxmlformats.org/drawingml/2006/main">
                <a:graphicData uri="http://schemas.microsoft.com/office/word/2010/wordprocessingShape">
                  <wps:wsp>
                    <wps:cNvCnPr/>
                    <wps:spPr>
                      <a:xfrm>
                        <a:off x="2471673" y="3780000"/>
                        <a:ext cx="574865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09E06E57" id="Straight Arrow Connector 2128252983" o:spid="_x0000_s1026" type="#_x0000_t32" style="position:absolute;margin-left:0;margin-top:6.1pt;width:0;height:1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" strokecolor="black [3200]">
              <v:stroke startarrowwidth="narrow" startarrowlength="short" endarrowwidth="narrow" endarrowlength="short" joinstyle="miter"/>
            </v:shape>
          </w:pict>
        </mc:Fallback>
      </mc:AlternateContent>
    </w:r>
    <w:r w:rsidRPr="00F31144">
      <w:rPr>
        <w:rFonts w:ascii="Garamond" w:hAnsi="Garamond"/>
        <w:noProof/>
      </w:rPr>
      <mc:AlternateContent>
        <mc:Choice Requires="wps">
          <w:drawing>
            <wp:anchor distT="0" distB="0" distL="114300" distR="114300" simplePos="0" relativeHeight="251683840" behindDoc="0" locked="0" layoutInCell="1" hidden="0" allowOverlap="1" wp14:anchorId="5AA5ED98" wp14:editId="2A98C4ED">
              <wp:simplePos x="0" y="0"/>
              <wp:positionH relativeFrom="column">
                <wp:posOffset>1</wp:posOffset>
              </wp:positionH>
              <wp:positionV relativeFrom="paragraph">
                <wp:posOffset>77470</wp:posOffset>
              </wp:positionV>
              <wp:extent cx="0" cy="12700"/>
              <wp:effectExtent l="0" t="0" r="0" b="0"/>
              <wp:wrapNone/>
              <wp:docPr id="1502661375" name="Straight Arrow Connector 1502661375"/>
              <wp:cNvGraphicFramePr/>
              <a:graphic xmlns:a="http://schemas.openxmlformats.org/drawingml/2006/main">
                <a:graphicData uri="http://schemas.microsoft.com/office/word/2010/wordprocessingShape">
                  <wps:wsp>
                    <wps:cNvCnPr/>
                    <wps:spPr>
                      <a:xfrm>
                        <a:off x="2471673" y="3780000"/>
                        <a:ext cx="574865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793AE16F" id="Straight Arrow Connector 1502661375" o:spid="_x0000_s1026" type="#_x0000_t32" style="position:absolute;margin-left:0;margin-top:6.1pt;width:0;height:1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" strokecolor="black [3200]">
              <v:stroke startarrowwidth="narrow" startarrowlength="short" endarrowwidth="narrow" endarrowlength="short" joinstyle="miter"/>
            </v:shape>
          </w:pict>
        </mc:Fallback>
      </mc:AlternateContent>
    </w:r>
    <w:r w:rsidRPr="00F31144">
      <w:rPr>
        <w:rFonts w:ascii="Garamond" w:hAnsi="Garamond"/>
        <w:noProof/>
      </w:rPr>
      <mc:AlternateContent>
        <mc:Choice Requires="wps">
          <w:drawing>
            <wp:anchor distT="0" distB="0" distL="114300" distR="114300" simplePos="0" relativeHeight="251682816" behindDoc="0" locked="0" layoutInCell="1" hidden="0" allowOverlap="1" wp14:anchorId="41C7705E" wp14:editId="1B2EAFCD">
              <wp:simplePos x="0" y="0"/>
              <wp:positionH relativeFrom="column">
                <wp:posOffset>1</wp:posOffset>
              </wp:positionH>
              <wp:positionV relativeFrom="paragraph">
                <wp:posOffset>77470</wp:posOffset>
              </wp:positionV>
              <wp:extent cx="0" cy="12700"/>
              <wp:effectExtent l="0" t="0" r="0" b="0"/>
              <wp:wrapNone/>
              <wp:docPr id="139098309" name="Straight Arrow Connector 139098309"/>
              <wp:cNvGraphicFramePr/>
              <a:graphic xmlns:a="http://schemas.openxmlformats.org/drawingml/2006/main">
                <a:graphicData uri="http://schemas.microsoft.com/office/word/2010/wordprocessingShape">
                  <wps:wsp>
                    <wps:cNvCnPr/>
                    <wps:spPr>
                      <a:xfrm>
                        <a:off x="2471673" y="3780000"/>
                        <a:ext cx="574865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701A56CA" id="Straight Arrow Connector 139098309" o:spid="_x0000_s1026" type="#_x0000_t32" style="position:absolute;margin-left:0;margin-top:6.1pt;width:0;height:1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" strokecolor="black [3200]">
              <v:stroke startarrowwidth="narrow" startarrowlength="short" endarrowwidth="narrow" endarrowlength="short" joinstyle="miter"/>
            </v:shape>
          </w:pict>
        </mc:Fallback>
      </mc:AlternateContent>
    </w:r>
    <w:r w:rsidRPr="00F31144">
      <w:rPr>
        <w:rFonts w:ascii="Garamond" w:hAnsi="Garamond"/>
        <w:noProof/>
      </w:rPr>
      <mc:AlternateContent>
        <mc:Choice Requires="wps">
          <w:drawing>
            <wp:anchor distT="0" distB="0" distL="114300" distR="114300" simplePos="0" relativeHeight="251681792" behindDoc="0" locked="0" layoutInCell="1" hidden="0" allowOverlap="1" wp14:anchorId="691B034B" wp14:editId="4C5A3A73">
              <wp:simplePos x="0" y="0"/>
              <wp:positionH relativeFrom="column">
                <wp:posOffset>1</wp:posOffset>
              </wp:positionH>
              <wp:positionV relativeFrom="paragraph">
                <wp:posOffset>77470</wp:posOffset>
              </wp:positionV>
              <wp:extent cx="0" cy="12700"/>
              <wp:effectExtent l="0" t="0" r="0" b="0"/>
              <wp:wrapNone/>
              <wp:docPr id="1626378694" name="Straight Arrow Connector 1626378694"/>
              <wp:cNvGraphicFramePr/>
              <a:graphic xmlns:a="http://schemas.openxmlformats.org/drawingml/2006/main">
                <a:graphicData uri="http://schemas.microsoft.com/office/word/2010/wordprocessingShape">
                  <wps:wsp>
                    <wps:cNvCnPr/>
                    <wps:spPr>
                      <a:xfrm>
                        <a:off x="2471673" y="3780000"/>
                        <a:ext cx="574865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5D84F142" id="Straight Arrow Connector 1626378694" o:spid="_x0000_s1026" type="#_x0000_t32" style="position:absolute;margin-left:0;margin-top:6.1pt;width:0;height:1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" strokecolor="black [3200]">
              <v:stroke startarrowwidth="narrow" startarrowlength="short" endarrowwidth="narrow" endarrowlength="short" joinstyle="miter"/>
            </v:shape>
          </w:pict>
        </mc:Fallback>
      </mc:AlternateContent>
    </w:r>
    <w:r w:rsidRPr="00F31144">
      <w:rPr>
        <w:rFonts w:ascii="Garamond" w:hAnsi="Garamond"/>
        <w:noProof/>
      </w:rPr>
      <mc:AlternateContent>
        <mc:Choice Requires="wps">
          <w:drawing>
            <wp:anchor distT="0" distB="0" distL="114300" distR="114300" simplePos="0" relativeHeight="251680768" behindDoc="0" locked="0" layoutInCell="1" hidden="0" allowOverlap="1" wp14:anchorId="3C811E53" wp14:editId="40753A1B">
              <wp:simplePos x="0" y="0"/>
              <wp:positionH relativeFrom="column">
                <wp:posOffset>1</wp:posOffset>
              </wp:positionH>
              <wp:positionV relativeFrom="paragraph">
                <wp:posOffset>77470</wp:posOffset>
              </wp:positionV>
              <wp:extent cx="0" cy="12700"/>
              <wp:effectExtent l="0" t="0" r="0" b="0"/>
              <wp:wrapNone/>
              <wp:docPr id="443449748" name="Straight Arrow Connector 443449748"/>
              <wp:cNvGraphicFramePr/>
              <a:graphic xmlns:a="http://schemas.openxmlformats.org/drawingml/2006/main">
                <a:graphicData uri="http://schemas.microsoft.com/office/word/2010/wordprocessingShape">
                  <wps:wsp>
                    <wps:cNvCnPr/>
                    <wps:spPr>
                      <a:xfrm>
                        <a:off x="2471673" y="3780000"/>
                        <a:ext cx="574865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7D789B6D" id="Straight Arrow Connector 443449748" o:spid="_x0000_s1026" type="#_x0000_t32" style="position:absolute;margin-left:0;margin-top:6.1pt;width:0;height:1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" strokecolor="black [3200]">
              <v:stroke startarrowwidth="narrow" startarrowlength="short" endarrowwidth="narrow" endarrowlength="short" joinstyle="miter"/>
            </v:shape>
          </w:pict>
        </mc:Fallback>
      </mc:AlternateContent>
    </w:r>
    <w:r w:rsidRPr="00F31144">
      <w:rPr>
        <w:rFonts w:ascii="Garamond" w:hAnsi="Garamond"/>
        <w:noProof/>
      </w:rPr>
      <mc:AlternateContent>
        <mc:Choice Requires="wps">
          <w:drawing>
            <wp:anchor distT="0" distB="0" distL="114300" distR="114300" simplePos="0" relativeHeight="251679744" behindDoc="0" locked="0" layoutInCell="1" hidden="0" allowOverlap="1" wp14:anchorId="6C43037C" wp14:editId="61E9988B">
              <wp:simplePos x="0" y="0"/>
              <wp:positionH relativeFrom="column">
                <wp:posOffset>1</wp:posOffset>
              </wp:positionH>
              <wp:positionV relativeFrom="paragraph">
                <wp:posOffset>77470</wp:posOffset>
              </wp:positionV>
              <wp:extent cx="0" cy="12700"/>
              <wp:effectExtent l="0" t="0" r="0" b="0"/>
              <wp:wrapNone/>
              <wp:docPr id="617782773" name="Straight Arrow Connector 617782773"/>
              <wp:cNvGraphicFramePr/>
              <a:graphic xmlns:a="http://schemas.openxmlformats.org/drawingml/2006/main">
                <a:graphicData uri="http://schemas.microsoft.com/office/word/2010/wordprocessingShape">
                  <wps:wsp>
                    <wps:cNvCnPr/>
                    <wps:spPr>
                      <a:xfrm>
                        <a:off x="2471673" y="3780000"/>
                        <a:ext cx="574865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674A31C9" id="Straight Arrow Connector 617782773" o:spid="_x0000_s1026" type="#_x0000_t32" style="position:absolute;margin-left:0;margin-top:6.1pt;width:0;height:1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" strokecolor="black [3200]">
              <v:stroke startarrowwidth="narrow" startarrowlength="short" endarrowwidth="narrow" endarrowlength="short" joinstyle="miter"/>
            </v:shape>
          </w:pict>
        </mc:Fallback>
      </mc:AlternateContent>
    </w:r>
    <w:r w:rsidRPr="00F31144">
      <w:rPr>
        <w:rFonts w:ascii="Garamond" w:hAnsi="Garamond"/>
        <w:noProof/>
      </w:rPr>
      <mc:AlternateContent>
        <mc:Choice Requires="wps">
          <w:drawing>
            <wp:anchor distT="0" distB="0" distL="114300" distR="114300" simplePos="0" relativeHeight="251678720" behindDoc="0" locked="0" layoutInCell="1" hidden="0" allowOverlap="1" wp14:anchorId="598DE6EF" wp14:editId="33E141E1">
              <wp:simplePos x="0" y="0"/>
              <wp:positionH relativeFrom="column">
                <wp:posOffset>1</wp:posOffset>
              </wp:positionH>
              <wp:positionV relativeFrom="paragraph">
                <wp:posOffset>77470</wp:posOffset>
              </wp:positionV>
              <wp:extent cx="0" cy="12700"/>
              <wp:effectExtent l="0" t="0" r="0" b="0"/>
              <wp:wrapNone/>
              <wp:docPr id="747718029" name="Straight Arrow Connector 747718029"/>
              <wp:cNvGraphicFramePr/>
              <a:graphic xmlns:a="http://schemas.openxmlformats.org/drawingml/2006/main">
                <a:graphicData uri="http://schemas.microsoft.com/office/word/2010/wordprocessingShape">
                  <wps:wsp>
                    <wps:cNvCnPr/>
                    <wps:spPr>
                      <a:xfrm>
                        <a:off x="2471673" y="3780000"/>
                        <a:ext cx="574865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70822F3D" id="Straight Arrow Connector 747718029" o:spid="_x0000_s1026" type="#_x0000_t32" style="position:absolute;margin-left:0;margin-top:6.1pt;width:0;height:1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" strokecolor="black [3200]">
              <v:stroke startarrowwidth="narrow" startarrowlength="short" endarrowwidth="narrow" endarrowlength="short" joinstyle="miter"/>
            </v:shape>
          </w:pict>
        </mc:Fallback>
      </mc:AlternateContent>
    </w:r>
    <w:r w:rsidRPr="00F31144">
      <w:rPr>
        <w:rFonts w:ascii="Garamond" w:hAnsi="Garamond"/>
        <w:noProof/>
      </w:rPr>
      <mc:AlternateContent>
        <mc:Choice Requires="wps">
          <w:drawing>
            <wp:anchor distT="0" distB="0" distL="114300" distR="114300" simplePos="0" relativeHeight="251677696" behindDoc="0" locked="0" layoutInCell="1" hidden="0" allowOverlap="1" wp14:anchorId="63A93385" wp14:editId="6D2A6CE6">
              <wp:simplePos x="0" y="0"/>
              <wp:positionH relativeFrom="column">
                <wp:posOffset>1</wp:posOffset>
              </wp:positionH>
              <wp:positionV relativeFrom="paragraph">
                <wp:posOffset>77470</wp:posOffset>
              </wp:positionV>
              <wp:extent cx="0" cy="12700"/>
              <wp:effectExtent l="0" t="0" r="0" b="0"/>
              <wp:wrapNone/>
              <wp:docPr id="846811887" name="Straight Arrow Connector 846811887"/>
              <wp:cNvGraphicFramePr/>
              <a:graphic xmlns:a="http://schemas.openxmlformats.org/drawingml/2006/main">
                <a:graphicData uri="http://schemas.microsoft.com/office/word/2010/wordprocessingShape">
                  <wps:wsp>
                    <wps:cNvCnPr/>
                    <wps:spPr>
                      <a:xfrm>
                        <a:off x="2471673" y="3780000"/>
                        <a:ext cx="574865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69185091" id="Straight Arrow Connector 846811887" o:spid="_x0000_s1026" type="#_x0000_t32" style="position:absolute;margin-left:0;margin-top:6.1pt;width:0;height:1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" strokecolor="black [3200]">
              <v:stroke startarrowwidth="narrow" startarrowlength="short" endarrowwidth="narrow" endarrowlength="short" joinstyle="miter"/>
            </v:shape>
          </w:pict>
        </mc:Fallback>
      </mc:AlternateContent>
    </w:r>
    <w:r w:rsidRPr="00F31144">
      <w:rPr>
        <w:rFonts w:ascii="Garamond" w:hAnsi="Garamond"/>
        <w:noProof/>
      </w:rPr>
      <mc:AlternateContent>
        <mc:Choice Requires="wps">
          <w:drawing>
            <wp:anchor distT="0" distB="0" distL="114300" distR="114300" simplePos="0" relativeHeight="251676672" behindDoc="0" locked="0" layoutInCell="1" hidden="0" allowOverlap="1" wp14:anchorId="0FA0AFDD" wp14:editId="228771F3">
              <wp:simplePos x="0" y="0"/>
              <wp:positionH relativeFrom="column">
                <wp:posOffset>1</wp:posOffset>
              </wp:positionH>
              <wp:positionV relativeFrom="paragraph">
                <wp:posOffset>77470</wp:posOffset>
              </wp:positionV>
              <wp:extent cx="0" cy="12700"/>
              <wp:effectExtent l="0" t="0" r="0" b="0"/>
              <wp:wrapNone/>
              <wp:docPr id="2082818632" name="Straight Arrow Connector 2082818632"/>
              <wp:cNvGraphicFramePr/>
              <a:graphic xmlns:a="http://schemas.openxmlformats.org/drawingml/2006/main">
                <a:graphicData uri="http://schemas.microsoft.com/office/word/2010/wordprocessingShape">
                  <wps:wsp>
                    <wps:cNvCnPr/>
                    <wps:spPr>
                      <a:xfrm>
                        <a:off x="2471673" y="3780000"/>
                        <a:ext cx="574865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318018DF" id="Straight Arrow Connector 2082818632" o:spid="_x0000_s1026" type="#_x0000_t32" style="position:absolute;margin-left:0;margin-top:6.1pt;width:0;height:1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" strokecolor="black [3200]">
              <v:stroke startarrowwidth="narrow" startarrowlength="short" endarrowwidth="narrow" endarrowlength="short" joinstyle="miter"/>
            </v:shape>
          </w:pict>
        </mc:Fallback>
      </mc:AlternateContent>
    </w:r>
    <w:r w:rsidRPr="00F31144">
      <w:rPr>
        <w:rFonts w:ascii="Garamond" w:hAnsi="Garamond"/>
        <w:noProof/>
      </w:rPr>
      <mc:AlternateContent>
        <mc:Choice Requires="wps">
          <w:drawing>
            <wp:anchor distT="0" distB="0" distL="114300" distR="114300" simplePos="0" relativeHeight="251675648" behindDoc="0" locked="0" layoutInCell="1" hidden="0" allowOverlap="1" wp14:anchorId="412B47C0" wp14:editId="346C6DBD">
              <wp:simplePos x="0" y="0"/>
              <wp:positionH relativeFrom="column">
                <wp:posOffset>1</wp:posOffset>
              </wp:positionH>
              <wp:positionV relativeFrom="paragraph">
                <wp:posOffset>77470</wp:posOffset>
              </wp:positionV>
              <wp:extent cx="0" cy="12700"/>
              <wp:effectExtent l="0" t="0" r="0" b="0"/>
              <wp:wrapNone/>
              <wp:docPr id="287699413" name="Straight Arrow Connector 287699413"/>
              <wp:cNvGraphicFramePr/>
              <a:graphic xmlns:a="http://schemas.openxmlformats.org/drawingml/2006/main">
                <a:graphicData uri="http://schemas.microsoft.com/office/word/2010/wordprocessingShape">
                  <wps:wsp>
                    <wps:cNvCnPr/>
                    <wps:spPr>
                      <a:xfrm>
                        <a:off x="2471673" y="3780000"/>
                        <a:ext cx="574865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709B8F69" id="Straight Arrow Connector 287699413" o:spid="_x0000_s1026" type="#_x0000_t32" style="position:absolute;margin-left:0;margin-top:6.1pt;width:0;height:1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" strokecolor="black [3200]">
              <v:stroke startarrowwidth="narrow" startarrowlength="short" endarrowwidth="narrow" endarrowlength="short" joinstyle="miter"/>
            </v:shape>
          </w:pict>
        </mc:Fallback>
      </mc:AlternateContent>
    </w:r>
    <w:r w:rsidRPr="00F31144">
      <w:rPr>
        <w:rFonts w:ascii="Garamond" w:hAnsi="Garamond"/>
        <w:noProof/>
      </w:rPr>
      <mc:AlternateContent>
        <mc:Choice Requires="wps">
          <w:drawing>
            <wp:anchor distT="0" distB="0" distL="114300" distR="114300" simplePos="0" relativeHeight="251674624" behindDoc="0" locked="0" layoutInCell="1" hidden="0" allowOverlap="1" wp14:anchorId="3EBAAF19" wp14:editId="1ADC17D8">
              <wp:simplePos x="0" y="0"/>
              <wp:positionH relativeFrom="column">
                <wp:posOffset>1</wp:posOffset>
              </wp:positionH>
              <wp:positionV relativeFrom="paragraph">
                <wp:posOffset>77470</wp:posOffset>
              </wp:positionV>
              <wp:extent cx="0" cy="12700"/>
              <wp:effectExtent l="0" t="0" r="0" b="0"/>
              <wp:wrapNone/>
              <wp:docPr id="1855196027" name="Straight Arrow Connector 1855196027"/>
              <wp:cNvGraphicFramePr/>
              <a:graphic xmlns:a="http://schemas.openxmlformats.org/drawingml/2006/main">
                <a:graphicData uri="http://schemas.microsoft.com/office/word/2010/wordprocessingShape">
                  <wps:wsp>
                    <wps:cNvCnPr/>
                    <wps:spPr>
                      <a:xfrm>
                        <a:off x="2471673" y="3780000"/>
                        <a:ext cx="574865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36356BA2" id="Straight Arrow Connector 1855196027" o:spid="_x0000_s1026" type="#_x0000_t32" style="position:absolute;margin-left:0;margin-top:6.1pt;width:0;height:1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" strokecolor="black [3200]">
              <v:stroke startarrowwidth="narrow" startarrowlength="short" endarrowwidth="narrow" endarrowlength="short" joinstyle="miter"/>
            </v:shape>
          </w:pict>
        </mc:Fallback>
      </mc:AlternateContent>
    </w:r>
    <w:r w:rsidRPr="00F31144">
      <w:rPr>
        <w:rFonts w:ascii="Garamond" w:hAnsi="Garamond"/>
        <w:noProof/>
      </w:rPr>
      <mc:AlternateContent>
        <mc:Choice Requires="wps">
          <w:drawing>
            <wp:anchor distT="0" distB="0" distL="114300" distR="114300" simplePos="0" relativeHeight="251673600" behindDoc="0" locked="0" layoutInCell="1" hidden="0" allowOverlap="1" wp14:anchorId="088B7112" wp14:editId="687D6A79">
              <wp:simplePos x="0" y="0"/>
              <wp:positionH relativeFrom="column">
                <wp:posOffset>1</wp:posOffset>
              </wp:positionH>
              <wp:positionV relativeFrom="paragraph">
                <wp:posOffset>77470</wp:posOffset>
              </wp:positionV>
              <wp:extent cx="0" cy="12700"/>
              <wp:effectExtent l="0" t="0" r="0" b="0"/>
              <wp:wrapNone/>
              <wp:docPr id="236436270" name="Straight Arrow Connector 236436270"/>
              <wp:cNvGraphicFramePr/>
              <a:graphic xmlns:a="http://schemas.openxmlformats.org/drawingml/2006/main">
                <a:graphicData uri="http://schemas.microsoft.com/office/word/2010/wordprocessingShape">
                  <wps:wsp>
                    <wps:cNvCnPr/>
                    <wps:spPr>
                      <a:xfrm>
                        <a:off x="2471673" y="3780000"/>
                        <a:ext cx="574865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3720CB23" id="Straight Arrow Connector 236436270" o:spid="_x0000_s1026" type="#_x0000_t32" style="position:absolute;margin-left:0;margin-top:6.1pt;width:0;height:1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72576" behindDoc="0" locked="0" layoutInCell="1" hidden="0" allowOverlap="1" wp14:anchorId="2E6A80DF" wp14:editId="46DEA77B">
              <wp:simplePos x="0" y="0"/>
              <wp:positionH relativeFrom="column">
                <wp:posOffset>1</wp:posOffset>
              </wp:positionH>
              <wp:positionV relativeFrom="paragraph">
                <wp:posOffset>77470</wp:posOffset>
              </wp:positionV>
              <wp:extent cx="0" cy="12700"/>
              <wp:effectExtent l="0" t="0" r="0" b="0"/>
              <wp:wrapNone/>
              <wp:docPr id="300516283" name="Straight Arrow Connector 300516283"/>
              <wp:cNvGraphicFramePr/>
              <a:graphic xmlns:a="http://schemas.openxmlformats.org/drawingml/2006/main">
                <a:graphicData uri="http://schemas.microsoft.com/office/word/2010/wordprocessingShape">
                  <wps:wsp>
                    <wps:cNvCnPr/>
                    <wps:spPr>
                      <a:xfrm>
                        <a:off x="2471673" y="3780000"/>
                        <a:ext cx="574865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67F9F940" id="Straight Arrow Connector 300516283" o:spid="_x0000_s1026" type="#_x0000_t32" style="position:absolute;margin-left:0;margin-top:6.1pt;width:0;height:1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70528" behindDoc="0" locked="0" layoutInCell="1" hidden="0" allowOverlap="1" wp14:anchorId="66CBE390" wp14:editId="36E5E8E6">
              <wp:simplePos x="0" y="0"/>
              <wp:positionH relativeFrom="column">
                <wp:posOffset>1</wp:posOffset>
              </wp:positionH>
              <wp:positionV relativeFrom="paragraph">
                <wp:posOffset>77470</wp:posOffset>
              </wp:positionV>
              <wp:extent cx="0" cy="12700"/>
              <wp:effectExtent l="0" t="0" r="0" b="0"/>
              <wp:wrapNone/>
              <wp:docPr id="831890432" name="Straight Arrow Connector 831890432"/>
              <wp:cNvGraphicFramePr/>
              <a:graphic xmlns:a="http://schemas.openxmlformats.org/drawingml/2006/main">
                <a:graphicData uri="http://schemas.microsoft.com/office/word/2010/wordprocessingShape">
                  <wps:wsp>
                    <wps:cNvCnPr/>
                    <wps:spPr>
                      <a:xfrm>
                        <a:off x="2471673" y="3780000"/>
                        <a:ext cx="574865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3ABAF772" id="Straight Arrow Connector 831890432" o:spid="_x0000_s1026" type="#_x0000_t32" style="position:absolute;margin-left:0;margin-top:6.1pt;width:0;height:1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69504" behindDoc="0" locked="0" layoutInCell="1" hidden="0" allowOverlap="1" wp14:anchorId="2D249460" wp14:editId="6F5CF207">
              <wp:simplePos x="0" y="0"/>
              <wp:positionH relativeFrom="column">
                <wp:posOffset>1</wp:posOffset>
              </wp:positionH>
              <wp:positionV relativeFrom="paragraph">
                <wp:posOffset>77470</wp:posOffset>
              </wp:positionV>
              <wp:extent cx="0" cy="12700"/>
              <wp:effectExtent l="0" t="0" r="0" b="0"/>
              <wp:wrapNone/>
              <wp:docPr id="374346583" name="Straight Arrow Connector 374346583"/>
              <wp:cNvGraphicFramePr/>
              <a:graphic xmlns:a="http://schemas.openxmlformats.org/drawingml/2006/main">
                <a:graphicData uri="http://schemas.microsoft.com/office/word/2010/wordprocessingShape">
                  <wps:wsp>
                    <wps:cNvCnPr/>
                    <wps:spPr>
                      <a:xfrm>
                        <a:off x="2471673" y="3780000"/>
                        <a:ext cx="574865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72984EC9" id="Straight Arrow Connector 374346583" o:spid="_x0000_s1026" type="#_x0000_t32" style="position:absolute;margin-left:0;margin-top:6.1pt;width:0;height:1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68480" behindDoc="0" locked="0" layoutInCell="1" hidden="0" allowOverlap="1" wp14:anchorId="5BBDD780" wp14:editId="1D012524">
              <wp:simplePos x="0" y="0"/>
              <wp:positionH relativeFrom="column">
                <wp:posOffset>1</wp:posOffset>
              </wp:positionH>
              <wp:positionV relativeFrom="paragraph">
                <wp:posOffset>77470</wp:posOffset>
              </wp:positionV>
              <wp:extent cx="0" cy="12700"/>
              <wp:effectExtent l="0" t="0" r="0" b="0"/>
              <wp:wrapNone/>
              <wp:docPr id="1075312310" name="Straight Arrow Connector 1075312310"/>
              <wp:cNvGraphicFramePr/>
              <a:graphic xmlns:a="http://schemas.openxmlformats.org/drawingml/2006/main">
                <a:graphicData uri="http://schemas.microsoft.com/office/word/2010/wordprocessingShape">
                  <wps:wsp>
                    <wps:cNvCnPr/>
                    <wps:spPr>
                      <a:xfrm>
                        <a:off x="2471673" y="3780000"/>
                        <a:ext cx="574865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30652F1D" id="Straight Arrow Connector 1075312310" o:spid="_x0000_s1026" type="#_x0000_t32" style="position:absolute;margin-left:0;margin-top:6.1pt;width:0;height:1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67456" behindDoc="0" locked="0" layoutInCell="1" hidden="0" allowOverlap="1" wp14:anchorId="4FFA8F2C" wp14:editId="5A53748F">
              <wp:simplePos x="0" y="0"/>
              <wp:positionH relativeFrom="column">
                <wp:posOffset>1</wp:posOffset>
              </wp:positionH>
              <wp:positionV relativeFrom="paragraph">
                <wp:posOffset>77470</wp:posOffset>
              </wp:positionV>
              <wp:extent cx="0" cy="12700"/>
              <wp:effectExtent l="0" t="0" r="0" b="0"/>
              <wp:wrapNone/>
              <wp:docPr id="1164524476" name="Straight Arrow Connector 1164524476"/>
              <wp:cNvGraphicFramePr/>
              <a:graphic xmlns:a="http://schemas.openxmlformats.org/drawingml/2006/main">
                <a:graphicData uri="http://schemas.microsoft.com/office/word/2010/wordprocessingShape">
                  <wps:wsp>
                    <wps:cNvCnPr/>
                    <wps:spPr>
                      <a:xfrm>
                        <a:off x="2471673" y="3780000"/>
                        <a:ext cx="574865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569B5C71" id="Straight Arrow Connector 1164524476" o:spid="_x0000_s1026" type="#_x0000_t32" style="position:absolute;margin-left:0;margin-top:6.1pt;width:0;height:1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66432" behindDoc="0" locked="0" layoutInCell="1" hidden="0" allowOverlap="1" wp14:anchorId="4EAB692A" wp14:editId="20EE5A95">
              <wp:simplePos x="0" y="0"/>
              <wp:positionH relativeFrom="column">
                <wp:posOffset>1</wp:posOffset>
              </wp:positionH>
              <wp:positionV relativeFrom="paragraph">
                <wp:posOffset>77470</wp:posOffset>
              </wp:positionV>
              <wp:extent cx="0" cy="12700"/>
              <wp:effectExtent l="0" t="0" r="0" b="0"/>
              <wp:wrapNone/>
              <wp:docPr id="1796882750" name="Straight Arrow Connector 1796882750"/>
              <wp:cNvGraphicFramePr/>
              <a:graphic xmlns:a="http://schemas.openxmlformats.org/drawingml/2006/main">
                <a:graphicData uri="http://schemas.microsoft.com/office/word/2010/wordprocessingShape">
                  <wps:wsp>
                    <wps:cNvCnPr/>
                    <wps:spPr>
                      <a:xfrm>
                        <a:off x="2471673" y="3780000"/>
                        <a:ext cx="574865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33EE5D0B" id="Straight Arrow Connector 1796882750" o:spid="_x0000_s1026" type="#_x0000_t32" style="position:absolute;margin-left:0;margin-top:6.1pt;width:0;height:1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65408" behindDoc="0" locked="0" layoutInCell="1" hidden="0" allowOverlap="1" wp14:anchorId="7315D64D" wp14:editId="27CB2F73">
              <wp:simplePos x="0" y="0"/>
              <wp:positionH relativeFrom="column">
                <wp:posOffset>1</wp:posOffset>
              </wp:positionH>
              <wp:positionV relativeFrom="paragraph">
                <wp:posOffset>77470</wp:posOffset>
              </wp:positionV>
              <wp:extent cx="0" cy="12700"/>
              <wp:effectExtent l="0" t="0" r="0" b="0"/>
              <wp:wrapNone/>
              <wp:docPr id="2146530115" name="Straight Arrow Connector 2146530115"/>
              <wp:cNvGraphicFramePr/>
              <a:graphic xmlns:a="http://schemas.openxmlformats.org/drawingml/2006/main">
                <a:graphicData uri="http://schemas.microsoft.com/office/word/2010/wordprocessingShape">
                  <wps:wsp>
                    <wps:cNvCnPr/>
                    <wps:spPr>
                      <a:xfrm>
                        <a:off x="2471673" y="3780000"/>
                        <a:ext cx="574865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332F6F46" id="Straight Arrow Connector 2146530115" o:spid="_x0000_s1026" type="#_x0000_t32" style="position:absolute;margin-left:0;margin-top:6.1pt;width:0;height:1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64384" behindDoc="0" locked="0" layoutInCell="1" hidden="0" allowOverlap="1" wp14:anchorId="38E822C6" wp14:editId="3C8AD129">
              <wp:simplePos x="0" y="0"/>
              <wp:positionH relativeFrom="column">
                <wp:posOffset>1</wp:posOffset>
              </wp:positionH>
              <wp:positionV relativeFrom="paragraph">
                <wp:posOffset>77470</wp:posOffset>
              </wp:positionV>
              <wp:extent cx="0" cy="12700"/>
              <wp:effectExtent l="0" t="0" r="0" b="0"/>
              <wp:wrapNone/>
              <wp:docPr id="1342458305" name="Straight Arrow Connector 1342458305"/>
              <wp:cNvGraphicFramePr/>
              <a:graphic xmlns:a="http://schemas.openxmlformats.org/drawingml/2006/main">
                <a:graphicData uri="http://schemas.microsoft.com/office/word/2010/wordprocessingShape">
                  <wps:wsp>
                    <wps:cNvCnPr/>
                    <wps:spPr>
                      <a:xfrm>
                        <a:off x="2471673" y="3780000"/>
                        <a:ext cx="574865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0299396A" id="Straight Arrow Connector 1342458305" o:spid="_x0000_s1026" type="#_x0000_t32" style="position:absolute;margin-left:0;margin-top:6.1pt;width:0;height:1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63360" behindDoc="0" locked="0" layoutInCell="1" hidden="0" allowOverlap="1" wp14:anchorId="3486D375" wp14:editId="336B06DF">
              <wp:simplePos x="0" y="0"/>
              <wp:positionH relativeFrom="column">
                <wp:posOffset>1</wp:posOffset>
              </wp:positionH>
              <wp:positionV relativeFrom="paragraph">
                <wp:posOffset>77470</wp:posOffset>
              </wp:positionV>
              <wp:extent cx="0" cy="12700"/>
              <wp:effectExtent l="0" t="0" r="0" b="0"/>
              <wp:wrapNone/>
              <wp:docPr id="935943431" name="Straight Arrow Connector 935943431"/>
              <wp:cNvGraphicFramePr/>
              <a:graphic xmlns:a="http://schemas.openxmlformats.org/drawingml/2006/main">
                <a:graphicData uri="http://schemas.microsoft.com/office/word/2010/wordprocessingShape">
                  <wps:wsp>
                    <wps:cNvCnPr/>
                    <wps:spPr>
                      <a:xfrm>
                        <a:off x="2471673" y="3780000"/>
                        <a:ext cx="574865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31F0F43E" id="Straight Arrow Connector 935943431" o:spid="_x0000_s1026" type="#_x0000_t32" style="position:absolute;margin-left:0;margin-top:6.1pt;width:0;height:1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62336" behindDoc="0" locked="0" layoutInCell="1" hidden="0" allowOverlap="1" wp14:anchorId="2BF36AE9" wp14:editId="34593494">
              <wp:simplePos x="0" y="0"/>
              <wp:positionH relativeFrom="column">
                <wp:posOffset>1</wp:posOffset>
              </wp:positionH>
              <wp:positionV relativeFrom="paragraph">
                <wp:posOffset>77470</wp:posOffset>
              </wp:positionV>
              <wp:extent cx="0" cy="12700"/>
              <wp:effectExtent l="0" t="0" r="0" b="0"/>
              <wp:wrapNone/>
              <wp:docPr id="1481891856" name="Straight Arrow Connector 1481891856"/>
              <wp:cNvGraphicFramePr/>
              <a:graphic xmlns:a="http://schemas.openxmlformats.org/drawingml/2006/main">
                <a:graphicData uri="http://schemas.microsoft.com/office/word/2010/wordprocessingShape">
                  <wps:wsp>
                    <wps:cNvCnPr/>
                    <wps:spPr>
                      <a:xfrm>
                        <a:off x="2471673" y="3780000"/>
                        <a:ext cx="574865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4774B094" id="Straight Arrow Connector 1481891856" o:spid="_x0000_s1026" type="#_x0000_t32" style="position:absolute;margin-left:0;margin-top:6.1pt;width:0;height:1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" strokecolor="black [3200]">
              <v:stroke startarrowwidth="narrow" startarrowlength="short" endarrowwidth="narrow" endarrowlength="short" joinstyle="miter"/>
            </v:shape>
          </w:pict>
        </mc:Fallback>
      </mc:AlternateContent>
    </w:r>
    <w:r>
      <w:rPr>
        <w:noProof/>
      </w:rPr>
      <mc:AlternateContent>
        <mc:Choice Requires="wps">
          <w:drawing>
            <wp:anchor distT="0" distB="0" distL="114300" distR="114300" simplePos="0" relativeHeight="251658240" behindDoc="0" locked="0" layoutInCell="1" hidden="0" allowOverlap="1" wp14:anchorId="71734CE2" wp14:editId="6F597535">
              <wp:simplePos x="0" y="0"/>
              <wp:positionH relativeFrom="column">
                <wp:posOffset>1</wp:posOffset>
              </wp:positionH>
              <wp:positionV relativeFrom="paragraph">
                <wp:posOffset>77470</wp:posOffset>
              </wp:positionV>
              <wp:extent cx="0" cy="12700"/>
              <wp:effectExtent l="0" t="0" r="0" b="0"/>
              <wp:wrapNone/>
              <wp:docPr id="2108589429" name="Straight Arrow Connector 2108589429"/>
              <wp:cNvGraphicFramePr/>
              <a:graphic xmlns:a="http://schemas.openxmlformats.org/drawingml/2006/main">
                <a:graphicData uri="http://schemas.microsoft.com/office/word/2010/wordprocessingShape">
                  <wps:wsp>
                    <wps:cNvCnPr/>
                    <wps:spPr>
                      <a:xfrm>
                        <a:off x="2471673" y="3780000"/>
                        <a:ext cx="5748655"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1</wp:posOffset>
              </wp:positionH>
              <wp:positionV relativeFrom="paragraph">
                <wp:posOffset>77470</wp:posOffset>
              </wp:positionV>
              <wp:extent cx="0" cy="12700"/>
              <wp:effectExtent b="0" l="0" r="0" t="0"/>
              <wp:wrapNone/>
              <wp:docPr id="2108589429"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bookmarkEnd w:id="1"/>
    <w:bookmarkEnd w:id="2"/>
    <w:bookmarkEnd w:id="3"/>
    <w:bookmarkEnd w:id="4"/>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8CE9E" w14:textId="77777777" w:rsidR="009D487D" w:rsidRDefault="009D487D" w:rsidP="009D487D">
    <w:pPr>
      <w:tabs>
        <w:tab w:val="right" w:pos="8931"/>
      </w:tabs>
      <w:spacing w:after="0" w:line="240" w:lineRule="auto"/>
      <w:rPr>
        <w:rFonts w:ascii="Garamond" w:eastAsia="Garamond" w:hAnsi="Garamond" w:cs="Garamond"/>
        <w:b/>
        <w:color w:val="000000"/>
        <w:sz w:val="36"/>
        <w:szCs w:val="36"/>
      </w:rPr>
    </w:pPr>
    <w:bookmarkStart w:id="5" w:name="_Hlk210730604"/>
    <w:bookmarkStart w:id="6" w:name="_Hlk210730605"/>
    <w:bookmarkStart w:id="7" w:name="_Hlk210730609"/>
    <w:bookmarkStart w:id="8" w:name="_Hlk210730610"/>
    <w:proofErr w:type="spellStart"/>
    <w:r>
      <w:rPr>
        <w:rFonts w:ascii="Garamond" w:eastAsia="Garamond" w:hAnsi="Garamond" w:cs="Garamond"/>
        <w:b/>
        <w:color w:val="000000"/>
        <w:sz w:val="36"/>
        <w:szCs w:val="36"/>
      </w:rPr>
      <w:t>Novatio</w:t>
    </w:r>
    <w:proofErr w:type="spellEnd"/>
    <w:r>
      <w:rPr>
        <w:rFonts w:ascii="Garamond" w:eastAsia="Garamond" w:hAnsi="Garamond" w:cs="Garamond"/>
        <w:b/>
        <w:color w:val="000000"/>
        <w:sz w:val="36"/>
        <w:szCs w:val="36"/>
      </w:rPr>
      <w:t xml:space="preserve">: Journal of Management Technology and Innovation </w:t>
    </w:r>
  </w:p>
  <w:p w14:paraId="03AB24AC" w14:textId="77777777" w:rsidR="009D487D" w:rsidRDefault="009D487D" w:rsidP="009D487D">
    <w:pPr>
      <w:tabs>
        <w:tab w:val="right" w:pos="8931"/>
      </w:tabs>
      <w:spacing w:after="0" w:line="240" w:lineRule="auto"/>
      <w:rPr>
        <w:rFonts w:ascii="Garamond" w:eastAsia="Garamond" w:hAnsi="Garamond" w:cs="Garamond"/>
      </w:rPr>
    </w:pPr>
    <w:r w:rsidRPr="00996DB4">
      <w:rPr>
        <w:rFonts w:ascii="Garamond" w:eastAsia="Garamond" w:hAnsi="Garamond" w:cs="Garamond"/>
      </w:rPr>
      <w:t>E-</w:t>
    </w:r>
    <w:proofErr w:type="gramStart"/>
    <w:r w:rsidRPr="00996DB4">
      <w:rPr>
        <w:rFonts w:ascii="Garamond" w:eastAsia="Garamond" w:hAnsi="Garamond" w:cs="Garamond"/>
      </w:rPr>
      <w:t>ISSN :</w:t>
    </w:r>
    <w:proofErr w:type="gramEnd"/>
    <w:r w:rsidRPr="00996DB4">
      <w:rPr>
        <w:rFonts w:ascii="Garamond" w:eastAsia="Garamond" w:hAnsi="Garamond" w:cs="Garamond"/>
      </w:rPr>
      <w:t xml:space="preserve"> 3030-8674</w:t>
    </w:r>
  </w:p>
  <w:p w14:paraId="57AA8079" w14:textId="77777777" w:rsidR="009D487D" w:rsidRDefault="009D487D" w:rsidP="009D487D">
    <w:pPr>
      <w:tabs>
        <w:tab w:val="right" w:pos="8931"/>
      </w:tabs>
      <w:spacing w:after="0" w:line="240" w:lineRule="auto"/>
      <w:rPr>
        <w:rFonts w:ascii="Garamond" w:eastAsia="Garamond" w:hAnsi="Garamond" w:cs="Garamond"/>
      </w:rPr>
    </w:pPr>
    <w:r>
      <w:rPr>
        <w:rFonts w:ascii="Garamond" w:eastAsia="Garamond" w:hAnsi="Garamond" w:cs="Garamond"/>
      </w:rPr>
      <w:t>Volume. 2, Issue 3, July 2024</w:t>
    </w:r>
    <w:r>
      <w:rPr>
        <w:noProof/>
      </w:rPr>
      <w:drawing>
        <wp:anchor distT="0" distB="0" distL="0" distR="0" simplePos="0" relativeHeight="251660288" behindDoc="1" locked="0" layoutInCell="1" hidden="0" allowOverlap="1" wp14:anchorId="7258C01D" wp14:editId="51CEFE96">
          <wp:simplePos x="0" y="0"/>
          <wp:positionH relativeFrom="column">
            <wp:posOffset>4673600</wp:posOffset>
          </wp:positionH>
          <wp:positionV relativeFrom="paragraph">
            <wp:posOffset>90170</wp:posOffset>
          </wp:positionV>
          <wp:extent cx="1024466" cy="355600"/>
          <wp:effectExtent l="0" t="0" r="0" b="0"/>
          <wp:wrapNone/>
          <wp:docPr id="2108589431" name="image1.jpg" descr="A logo with blue letters&#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jpg" descr="A logo with blue letters&#10;&#10;Description automatically generated"/>
                  <pic:cNvPicPr preferRelativeResize="0"/>
                </pic:nvPicPr>
                <pic:blipFill>
                  <a:blip r:embed="rId1"/>
                  <a:srcRect/>
                  <a:stretch>
                    <a:fillRect/>
                  </a:stretch>
                </pic:blipFill>
                <pic:spPr>
                  <a:xfrm>
                    <a:off x="0" y="0"/>
                    <a:ext cx="1024466" cy="355600"/>
                  </a:xfrm>
                  <a:prstGeom prst="rect">
                    <a:avLst/>
                  </a:prstGeom>
                  <a:ln/>
                </pic:spPr>
              </pic:pic>
            </a:graphicData>
          </a:graphic>
        </wp:anchor>
      </w:drawing>
    </w:r>
  </w:p>
  <w:p w14:paraId="430F7F51" w14:textId="3C243DDB" w:rsidR="009D487D" w:rsidRDefault="009D487D" w:rsidP="009D487D">
    <w:pPr>
      <w:tabs>
        <w:tab w:val="right" w:pos="8931"/>
      </w:tabs>
      <w:spacing w:after="0" w:line="240" w:lineRule="auto"/>
      <w:rPr>
        <w:rFonts w:ascii="Garamond" w:eastAsia="Garamond" w:hAnsi="Garamond" w:cs="Garamond"/>
        <w:color w:val="000000"/>
      </w:rPr>
    </w:pPr>
    <w:r>
      <w:rPr>
        <w:rFonts w:ascii="Garamond" w:eastAsia="Garamond" w:hAnsi="Garamond" w:cs="Garamond"/>
        <w:color w:val="000000"/>
      </w:rPr>
      <w:t>Page No: 205-215</w:t>
    </w:r>
  </w:p>
  <w:p w14:paraId="44942CB4" w14:textId="77777777" w:rsidR="009D487D" w:rsidRDefault="009D487D" w:rsidP="009D487D">
    <w:pPr>
      <w:pBdr>
        <w:top w:val="nil"/>
        <w:left w:val="nil"/>
        <w:bottom w:val="single" w:sz="6" w:space="1" w:color="000000"/>
        <w:right w:val="nil"/>
        <w:between w:val="nil"/>
      </w:pBdr>
      <w:tabs>
        <w:tab w:val="center" w:pos="4680"/>
        <w:tab w:val="right" w:pos="9360"/>
      </w:tabs>
      <w:spacing w:after="0" w:line="240" w:lineRule="auto"/>
      <w:rPr>
        <w:color w:val="000000"/>
      </w:rPr>
    </w:pPr>
  </w:p>
  <w:bookmarkEnd w:id="5"/>
  <w:bookmarkEnd w:id="6"/>
  <w:bookmarkEnd w:id="7"/>
  <w:bookmarkEnd w:id="8"/>
  <w:p w14:paraId="166862E1" w14:textId="77777777" w:rsidR="00EF00A5" w:rsidRPr="009D487D" w:rsidRDefault="00EF00A5" w:rsidP="009D48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0006E6"/>
    <w:multiLevelType w:val="multilevel"/>
    <w:tmpl w:val="BCC42D52"/>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 w15:restartNumberingAfterBreak="0">
    <w:nsid w:val="50615C78"/>
    <w:multiLevelType w:val="multilevel"/>
    <w:tmpl w:val="722457C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 w15:restartNumberingAfterBreak="0">
    <w:nsid w:val="51EA48BB"/>
    <w:multiLevelType w:val="multilevel"/>
    <w:tmpl w:val="C282AF96"/>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num w:numId="1" w16cid:durableId="654452678">
    <w:abstractNumId w:val="2"/>
  </w:num>
  <w:num w:numId="2" w16cid:durableId="35471216">
    <w:abstractNumId w:val="1"/>
  </w:num>
  <w:num w:numId="3" w16cid:durableId="1833598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0A5"/>
    <w:rsid w:val="000725B6"/>
    <w:rsid w:val="00572CB2"/>
    <w:rsid w:val="0060090C"/>
    <w:rsid w:val="007D48B1"/>
    <w:rsid w:val="009D487D"/>
    <w:rsid w:val="009F6043"/>
    <w:rsid w:val="00E637DF"/>
    <w:rsid w:val="00EF00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300F60"/>
  <w15:docId w15:val="{C70CE71C-7E03-48E7-9CAE-5C6BD438F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color w:val="2F5496"/>
      <w:sz w:val="32"/>
      <w:szCs w:val="32"/>
    </w:rPr>
  </w:style>
  <w:style w:type="paragraph" w:styleId="Heading2">
    <w:name w:val="heading 2"/>
    <w:basedOn w:val="Normal"/>
    <w:next w:val="Normal"/>
    <w:link w:val="Heading2Char"/>
    <w:uiPriority w:val="9"/>
    <w:semiHidden/>
    <w:unhideWhenUsed/>
    <w:qFormat/>
    <w:pPr>
      <w:keepNext/>
      <w:keepLines/>
      <w:spacing w:before="40" w:after="0"/>
      <w:outlineLvl w:val="1"/>
    </w:pPr>
    <w:rPr>
      <w:color w:val="2F5496"/>
      <w:sz w:val="26"/>
      <w:szCs w:val="26"/>
    </w:rPr>
  </w:style>
  <w:style w:type="paragraph" w:styleId="Heading3">
    <w:name w:val="heading 3"/>
    <w:basedOn w:val="Normal"/>
    <w:next w:val="Normal"/>
    <w:link w:val="Heading3Char"/>
    <w:uiPriority w:val="9"/>
    <w:semiHidden/>
    <w:unhideWhenUsed/>
    <w:qFormat/>
    <w:pPr>
      <w:keepNext/>
      <w:keepLines/>
      <w:spacing w:before="40" w:after="0"/>
      <w:outlineLvl w:val="2"/>
    </w:pPr>
    <w:rPr>
      <w:color w:val="1F3863"/>
      <w:sz w:val="24"/>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i/>
      <w:color w:val="2F5496"/>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0" w:line="240" w:lineRule="auto"/>
    </w:pPr>
    <w:rPr>
      <w:sz w:val="56"/>
      <w:szCs w:val="56"/>
    </w:rPr>
  </w:style>
  <w:style w:type="character" w:customStyle="1" w:styleId="Heading1Char">
    <w:name w:val="Heading 1 Char"/>
    <w:basedOn w:val="DefaultParagraphFont"/>
    <w:link w:val="Heading1"/>
    <w:uiPriority w:val="9"/>
    <w:rsid w:val="00D03C7B"/>
    <w:rPr>
      <w:rFonts w:asciiTheme="majorHAnsi" w:eastAsiaTheme="majorEastAsia" w:hAnsiTheme="majorHAnsi" w:cstheme="majorBidi"/>
      <w:color w:val="2F5496" w:themeColor="accent1" w:themeShade="BF"/>
      <w:sz w:val="32"/>
      <w:szCs w:val="32"/>
    </w:rPr>
  </w:style>
  <w:style w:type="character" w:customStyle="1" w:styleId="TitleChar">
    <w:name w:val="Title Char"/>
    <w:basedOn w:val="DefaultParagraphFont"/>
    <w:link w:val="Title"/>
    <w:uiPriority w:val="10"/>
    <w:rsid w:val="00D03C7B"/>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semiHidden/>
    <w:rsid w:val="00034C3A"/>
    <w:rPr>
      <w:rFonts w:asciiTheme="majorHAnsi" w:eastAsiaTheme="majorEastAsia" w:hAnsiTheme="majorHAnsi" w:cstheme="majorBidi"/>
      <w:color w:val="1F3763" w:themeColor="accent1" w:themeShade="7F"/>
      <w:sz w:val="24"/>
      <w:szCs w:val="24"/>
    </w:rPr>
  </w:style>
  <w:style w:type="character" w:customStyle="1" w:styleId="go">
    <w:name w:val="go"/>
    <w:basedOn w:val="DefaultParagraphFont"/>
    <w:rsid w:val="00034C3A"/>
  </w:style>
  <w:style w:type="paragraph" w:styleId="Header">
    <w:name w:val="header"/>
    <w:basedOn w:val="Normal"/>
    <w:link w:val="HeaderChar"/>
    <w:uiPriority w:val="99"/>
    <w:unhideWhenUsed/>
    <w:rsid w:val="006131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31A0"/>
  </w:style>
  <w:style w:type="paragraph" w:styleId="Footer">
    <w:name w:val="footer"/>
    <w:basedOn w:val="Normal"/>
    <w:link w:val="FooterChar"/>
    <w:uiPriority w:val="99"/>
    <w:unhideWhenUsed/>
    <w:rsid w:val="006131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31A0"/>
  </w:style>
  <w:style w:type="paragraph" w:styleId="ListParagraph">
    <w:name w:val="List Paragraph"/>
    <w:basedOn w:val="Normal"/>
    <w:uiPriority w:val="34"/>
    <w:qFormat/>
    <w:rsid w:val="006131A0"/>
    <w:pPr>
      <w:spacing w:after="200" w:line="276" w:lineRule="auto"/>
      <w:ind w:left="720"/>
      <w:contextualSpacing/>
    </w:pPr>
    <w:rPr>
      <w:rFonts w:cs="Times New Roman"/>
    </w:rPr>
  </w:style>
  <w:style w:type="paragraph" w:styleId="FootnoteText">
    <w:name w:val="footnote text"/>
    <w:basedOn w:val="Normal"/>
    <w:link w:val="FootnoteTextChar"/>
    <w:uiPriority w:val="99"/>
    <w:unhideWhenUsed/>
    <w:rsid w:val="006131A0"/>
    <w:pPr>
      <w:spacing w:after="0" w:line="240" w:lineRule="auto"/>
    </w:pPr>
    <w:rPr>
      <w:rFonts w:cs="Times New Roman"/>
      <w:sz w:val="20"/>
      <w:szCs w:val="20"/>
    </w:rPr>
  </w:style>
  <w:style w:type="character" w:customStyle="1" w:styleId="FootnoteTextChar">
    <w:name w:val="Footnote Text Char"/>
    <w:basedOn w:val="DefaultParagraphFont"/>
    <w:link w:val="FootnoteText"/>
    <w:uiPriority w:val="99"/>
    <w:rsid w:val="006131A0"/>
    <w:rPr>
      <w:rFonts w:ascii="Calibri" w:eastAsia="Calibri" w:hAnsi="Calibri" w:cs="Times New Roman"/>
      <w:sz w:val="20"/>
      <w:szCs w:val="20"/>
    </w:rPr>
  </w:style>
  <w:style w:type="character" w:styleId="FootnoteReference">
    <w:name w:val="footnote reference"/>
    <w:uiPriority w:val="99"/>
    <w:semiHidden/>
    <w:unhideWhenUsed/>
    <w:rsid w:val="006131A0"/>
    <w:rPr>
      <w:vertAlign w:val="superscript"/>
    </w:rPr>
  </w:style>
  <w:style w:type="character" w:customStyle="1" w:styleId="Heading2Char">
    <w:name w:val="Heading 2 Char"/>
    <w:basedOn w:val="DefaultParagraphFont"/>
    <w:link w:val="Heading2"/>
    <w:uiPriority w:val="9"/>
    <w:rsid w:val="006131A0"/>
    <w:rPr>
      <w:rFonts w:asciiTheme="majorHAnsi" w:eastAsiaTheme="majorEastAsia" w:hAnsiTheme="majorHAnsi" w:cstheme="majorBidi"/>
      <w:color w:val="2F5496" w:themeColor="accent1" w:themeShade="BF"/>
      <w:sz w:val="26"/>
      <w:szCs w:val="26"/>
    </w:rPr>
  </w:style>
  <w:style w:type="character" w:styleId="Hyperlink">
    <w:name w:val="Hyperlink"/>
    <w:uiPriority w:val="99"/>
    <w:unhideWhenUsed/>
    <w:rsid w:val="00012409"/>
    <w:rPr>
      <w:color w:val="0000FF"/>
      <w:u w:val="single"/>
    </w:rPr>
  </w:style>
  <w:style w:type="paragraph" w:styleId="Caption">
    <w:name w:val="caption"/>
    <w:basedOn w:val="Normal"/>
    <w:next w:val="Normal"/>
    <w:uiPriority w:val="35"/>
    <w:unhideWhenUsed/>
    <w:qFormat/>
    <w:rsid w:val="00086EEA"/>
    <w:pPr>
      <w:spacing w:after="200" w:line="240" w:lineRule="auto"/>
    </w:pPr>
    <w:rPr>
      <w:i/>
      <w:iCs/>
      <w:color w:val="44546A" w:themeColor="text2"/>
      <w:sz w:val="18"/>
      <w:szCs w:val="18"/>
    </w:rPr>
  </w:style>
  <w:style w:type="table" w:styleId="PlainTable2">
    <w:name w:val="Plain Table 2"/>
    <w:basedOn w:val="TableNormal"/>
    <w:uiPriority w:val="42"/>
    <w:rsid w:val="00B54DC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89274B"/>
    <w:rPr>
      <w:sz w:val="16"/>
      <w:szCs w:val="16"/>
    </w:rPr>
  </w:style>
  <w:style w:type="paragraph" w:styleId="CommentText">
    <w:name w:val="annotation text"/>
    <w:basedOn w:val="Normal"/>
    <w:link w:val="CommentTextChar"/>
    <w:uiPriority w:val="99"/>
    <w:semiHidden/>
    <w:unhideWhenUsed/>
    <w:rsid w:val="0089274B"/>
    <w:pPr>
      <w:spacing w:line="240" w:lineRule="auto"/>
    </w:pPr>
    <w:rPr>
      <w:sz w:val="20"/>
      <w:szCs w:val="20"/>
    </w:rPr>
  </w:style>
  <w:style w:type="character" w:customStyle="1" w:styleId="CommentTextChar">
    <w:name w:val="Comment Text Char"/>
    <w:basedOn w:val="DefaultParagraphFont"/>
    <w:link w:val="CommentText"/>
    <w:uiPriority w:val="99"/>
    <w:semiHidden/>
    <w:rsid w:val="0089274B"/>
    <w:rPr>
      <w:sz w:val="20"/>
      <w:szCs w:val="20"/>
    </w:rPr>
  </w:style>
  <w:style w:type="paragraph" w:styleId="CommentSubject">
    <w:name w:val="annotation subject"/>
    <w:basedOn w:val="CommentText"/>
    <w:next w:val="CommentText"/>
    <w:link w:val="CommentSubjectChar"/>
    <w:uiPriority w:val="99"/>
    <w:semiHidden/>
    <w:unhideWhenUsed/>
    <w:rsid w:val="0089274B"/>
    <w:rPr>
      <w:b/>
      <w:bCs/>
    </w:rPr>
  </w:style>
  <w:style w:type="character" w:customStyle="1" w:styleId="CommentSubjectChar">
    <w:name w:val="Comment Subject Char"/>
    <w:basedOn w:val="CommentTextChar"/>
    <w:link w:val="CommentSubject"/>
    <w:uiPriority w:val="99"/>
    <w:semiHidden/>
    <w:rsid w:val="0089274B"/>
    <w:rPr>
      <w:b/>
      <w:bCs/>
      <w:sz w:val="20"/>
      <w:szCs w:val="20"/>
    </w:rPr>
  </w:style>
  <w:style w:type="paragraph" w:styleId="BalloonText">
    <w:name w:val="Balloon Text"/>
    <w:basedOn w:val="Normal"/>
    <w:link w:val="BalloonTextChar"/>
    <w:uiPriority w:val="99"/>
    <w:semiHidden/>
    <w:unhideWhenUsed/>
    <w:rsid w:val="008927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274B"/>
    <w:rPr>
      <w:rFonts w:ascii="Segoe UI" w:hAnsi="Segoe UI" w:cs="Segoe UI"/>
      <w:sz w:val="18"/>
      <w:szCs w:val="18"/>
    </w:rPr>
  </w:style>
  <w:style w:type="table" w:styleId="TableGrid">
    <w:name w:val="Table Grid"/>
    <w:basedOn w:val="TableNormal"/>
    <w:uiPriority w:val="39"/>
    <w:qFormat/>
    <w:rsid w:val="008927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B75C5"/>
  </w:style>
  <w:style w:type="character" w:styleId="UnresolvedMention">
    <w:name w:val="Unresolved Mention"/>
    <w:basedOn w:val="DefaultParagraphFont"/>
    <w:uiPriority w:val="99"/>
    <w:semiHidden/>
    <w:unhideWhenUsed/>
    <w:rsid w:val="00B622D1"/>
    <w:rPr>
      <w:color w:val="605E5C"/>
      <w:shd w:val="clear" w:color="auto" w:fill="E1DFDD"/>
    </w:rPr>
  </w:style>
  <w:style w:type="paragraph" w:styleId="HTMLPreformatted">
    <w:name w:val="HTML Preformatted"/>
    <w:basedOn w:val="Normal"/>
    <w:link w:val="HTMLPreformattedChar"/>
    <w:uiPriority w:val="99"/>
    <w:semiHidden/>
    <w:unhideWhenUsed/>
    <w:rsid w:val="006D0C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6D0C39"/>
    <w:rPr>
      <w:rFonts w:ascii="Courier New" w:eastAsia="Times New Roman" w:hAnsi="Courier New" w:cs="Courier New"/>
      <w:sz w:val="20"/>
      <w:szCs w:val="20"/>
    </w:rPr>
  </w:style>
  <w:style w:type="paragraph" w:customStyle="1" w:styleId="Default">
    <w:name w:val="Default"/>
    <w:rsid w:val="00041A65"/>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FollowedHyperlink">
    <w:name w:val="FollowedHyperlink"/>
    <w:basedOn w:val="DefaultParagraphFont"/>
    <w:uiPriority w:val="99"/>
    <w:semiHidden/>
    <w:unhideWhenUsed/>
    <w:rsid w:val="00B35205"/>
    <w:rPr>
      <w:color w:val="954F72" w:themeColor="followedHyperlink"/>
      <w:u w:val="single"/>
    </w:rPr>
  </w:style>
  <w:style w:type="paragraph" w:styleId="NormalWeb">
    <w:name w:val="Normal (Web)"/>
    <w:basedOn w:val="Normal"/>
    <w:uiPriority w:val="99"/>
    <w:unhideWhenUsed/>
    <w:rsid w:val="002F1AE4"/>
    <w:pPr>
      <w:spacing w:before="100" w:beforeAutospacing="1" w:after="100" w:afterAutospacing="1" w:line="240" w:lineRule="auto"/>
    </w:pPr>
    <w:rPr>
      <w:rFonts w:ascii="Times New Roman" w:eastAsia="Times New Roman" w:hAnsi="Times New Roman" w:cs="Times New Roman"/>
      <w:sz w:val="24"/>
      <w:szCs w:val="24"/>
    </w:rPr>
  </w:style>
  <w:style w:type="table" w:styleId="PlainTable3">
    <w:name w:val="Plain Table 3"/>
    <w:basedOn w:val="TableNormal"/>
    <w:uiPriority w:val="43"/>
    <w:rsid w:val="00ED777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rynqvb">
    <w:name w:val="rynqvb"/>
    <w:basedOn w:val="DefaultParagraphFont"/>
    <w:rsid w:val="0051790B"/>
  </w:style>
  <w:style w:type="character" w:styleId="PlaceholderText">
    <w:name w:val="Placeholder Text"/>
    <w:basedOn w:val="DefaultParagraphFont"/>
    <w:uiPriority w:val="99"/>
    <w:semiHidden/>
    <w:rsid w:val="00110EAF"/>
    <w:rPr>
      <w:color w:val="666666"/>
    </w:rPr>
  </w:style>
  <w:style w:type="character" w:customStyle="1" w:styleId="Heading4Char">
    <w:name w:val="Heading 4 Char"/>
    <w:basedOn w:val="DefaultParagraphFont"/>
    <w:link w:val="Heading4"/>
    <w:uiPriority w:val="9"/>
    <w:semiHidden/>
    <w:rsid w:val="00341734"/>
    <w:rPr>
      <w:rFonts w:asciiTheme="majorHAnsi" w:eastAsiaTheme="majorEastAsia" w:hAnsiTheme="majorHAnsi" w:cstheme="majorBidi"/>
      <w:i/>
      <w:iCs/>
      <w:color w:val="2F5496" w:themeColor="accent1" w:themeShade="BF"/>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tblStylePr w:type="firstRow">
      <w:rPr>
        <w:b/>
      </w:rPr>
      <w:tblPr/>
      <w:tcPr>
        <w:tcBorders>
          <w:bottom w:val="single" w:sz="4" w:space="0" w:color="7F7F7F"/>
        </w:tcBorders>
      </w:tcPr>
    </w:tblStylePr>
    <w:tblStylePr w:type="lastRow">
      <w:rPr>
        <w:b/>
      </w:rPr>
      <w:tblPr/>
      <w:tcPr>
        <w:tcBorders>
          <w:top w:val="single" w:sz="4" w:space="0" w:color="7F7F7F"/>
        </w:tcBorders>
      </w:tcPr>
    </w:tblStylePr>
    <w:tblStylePr w:type="firstCol">
      <w:rPr>
        <w:b/>
      </w:rPr>
    </w:tblStylePr>
    <w:tblStylePr w:type="lastCol">
      <w:rPr>
        <w:b/>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sunarno@gmail.com1"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https://journal.idscipub.com/summ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journal.idscipub.com/novati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Yw4S4fC/mZ28PAYU2SiaAyV/6w==">CgMxLjAyDmgudGxuODZhMnp6cTAxOAByITF5X0xianVUdFo4Ql9vaFlyQjBlWHFCX0tYRG5sWFE0eA==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4252</Words>
  <Characters>24241</Characters>
  <Application>Microsoft Office Word</Application>
  <DocSecurity>0</DocSecurity>
  <Lines>202</Lines>
  <Paragraphs>56</Paragraphs>
  <ScaleCrop>false</ScaleCrop>
  <Company/>
  <LinksUpToDate>false</LinksUpToDate>
  <CharactersWithSpaces>28437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Mohammad Sofyan</dc:creator>
  <cp:lastModifiedBy>Penerbit Ilmiah</cp:lastModifiedBy>
  <cp:revision>4</cp:revision>
  <cp:lastPrinted>2025-10-07T04:53:00Z</cp:lastPrinted>
  <dcterms:created xsi:type="dcterms:W3CDTF">2025-10-07T04:53:00Z</dcterms:created>
  <dcterms:modified xsi:type="dcterms:W3CDTF">2025-10-08T04:29:00Z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adc409db-1889-37f0-98a3-e3680c5ed1cd</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https://csl.mendeley.com/styles/475823531/apa</vt:lpwstr>
  </property>
  <property fmtid="{D5CDD505-2E9C-101B-9397-08002B2CF9AE}" pid="8" name="Mendeley Recent Style Name 1_1">
    <vt:lpwstr>American Psychological Association 6th edition - Mincho Slavov</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e06d41cad19b3276f3509cc6de3683e5048ad7d054c89b10f25777e9cfcf04ce</vt:lpwstr>
  </property>
</Properties>
</file>