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6CA37" w14:textId="77777777" w:rsidR="00A04D3F" w:rsidRDefault="00000000">
      <w:pPr>
        <w:jc w:val="center"/>
        <w:rPr>
          <w:rFonts w:ascii="Garamond" w:eastAsia="Garamond" w:hAnsi="Garamond" w:cs="Garamond"/>
          <w:b/>
          <w:sz w:val="28"/>
          <w:szCs w:val="28"/>
        </w:rPr>
      </w:pPr>
      <w:r>
        <w:rPr>
          <w:rFonts w:ascii="Garamond" w:eastAsia="Garamond" w:hAnsi="Garamond" w:cs="Garamond"/>
          <w:b/>
          <w:sz w:val="28"/>
          <w:szCs w:val="28"/>
        </w:rPr>
        <w:t>Digital Meets Distribution: Quantifying the Impact of Logistics Integration in Emerging Market Omnichannel Retail</w:t>
      </w:r>
    </w:p>
    <w:p w14:paraId="734D5D0E" w14:textId="77777777" w:rsidR="00ED198D" w:rsidRDefault="00000000" w:rsidP="00ED198D">
      <w:pPr>
        <w:spacing w:after="0"/>
        <w:jc w:val="center"/>
        <w:rPr>
          <w:rFonts w:ascii="Garamond" w:eastAsia="Arial" w:hAnsi="Garamond" w:cs="Arial"/>
          <w:b/>
          <w:bCs/>
          <w:sz w:val="24"/>
          <w:szCs w:val="24"/>
        </w:rPr>
      </w:pPr>
      <w:r w:rsidRPr="00ED198D">
        <w:rPr>
          <w:rFonts w:ascii="Garamond" w:eastAsia="Arial" w:hAnsi="Garamond" w:cs="Arial"/>
          <w:b/>
          <w:bCs/>
          <w:sz w:val="24"/>
          <w:szCs w:val="24"/>
        </w:rPr>
        <w:t xml:space="preserve"> </w:t>
      </w:r>
    </w:p>
    <w:p w14:paraId="0B489027" w14:textId="167DCDD0" w:rsidR="00A04D3F" w:rsidRPr="00ED198D" w:rsidRDefault="00000000" w:rsidP="00ED198D">
      <w:pPr>
        <w:spacing w:after="0"/>
        <w:jc w:val="center"/>
        <w:rPr>
          <w:rFonts w:ascii="Garamond" w:eastAsia="Arial" w:hAnsi="Garamond" w:cs="Arial"/>
          <w:b/>
          <w:bCs/>
          <w:sz w:val="24"/>
          <w:szCs w:val="24"/>
        </w:rPr>
      </w:pPr>
      <w:r w:rsidRPr="00ED198D">
        <w:rPr>
          <w:rFonts w:ascii="Garamond" w:eastAsia="Arial" w:hAnsi="Garamond" w:cs="Arial"/>
          <w:b/>
          <w:bCs/>
          <w:sz w:val="24"/>
          <w:szCs w:val="24"/>
        </w:rPr>
        <w:t>Nurhaliza Vania Akbariani</w:t>
      </w:r>
      <w:r w:rsidRPr="00ED198D">
        <w:rPr>
          <w:rFonts w:ascii="Garamond" w:eastAsia="Arial" w:hAnsi="Garamond" w:cs="Arial"/>
          <w:b/>
          <w:bCs/>
          <w:sz w:val="24"/>
          <w:szCs w:val="24"/>
          <w:vertAlign w:val="superscript"/>
        </w:rPr>
        <w:t>1</w:t>
      </w:r>
      <w:r w:rsidRPr="00ED198D">
        <w:rPr>
          <w:rFonts w:ascii="Garamond" w:eastAsia="Arial" w:hAnsi="Garamond" w:cs="Arial"/>
          <w:b/>
          <w:bCs/>
          <w:sz w:val="24"/>
          <w:szCs w:val="24"/>
        </w:rPr>
        <w:t>, Harlis Setiyowati</w:t>
      </w:r>
      <w:r w:rsidRPr="00ED198D">
        <w:rPr>
          <w:rFonts w:ascii="Garamond" w:eastAsia="Arial" w:hAnsi="Garamond" w:cs="Arial"/>
          <w:b/>
          <w:bCs/>
          <w:sz w:val="24"/>
          <w:szCs w:val="24"/>
          <w:vertAlign w:val="superscript"/>
        </w:rPr>
        <w:t>2</w:t>
      </w:r>
    </w:p>
    <w:p w14:paraId="79CED86B" w14:textId="77777777" w:rsidR="00A04D3F" w:rsidRPr="00ED198D" w:rsidRDefault="00000000" w:rsidP="00ED198D">
      <w:pPr>
        <w:spacing w:after="0"/>
        <w:jc w:val="center"/>
        <w:rPr>
          <w:rFonts w:ascii="Garamond" w:eastAsia="Arial" w:hAnsi="Garamond" w:cs="Arial"/>
          <w:b/>
          <w:bCs/>
          <w:sz w:val="24"/>
          <w:szCs w:val="24"/>
        </w:rPr>
      </w:pPr>
      <w:r w:rsidRPr="00ED198D">
        <w:rPr>
          <w:rFonts w:ascii="Garamond" w:eastAsia="Arial" w:hAnsi="Garamond" w:cs="Arial"/>
          <w:b/>
          <w:bCs/>
          <w:sz w:val="24"/>
          <w:szCs w:val="24"/>
          <w:vertAlign w:val="superscript"/>
        </w:rPr>
        <w:t>12</w:t>
      </w:r>
      <w:r w:rsidRPr="00ED198D">
        <w:rPr>
          <w:rFonts w:ascii="Garamond" w:eastAsia="Arial" w:hAnsi="Garamond" w:cs="Arial"/>
          <w:b/>
          <w:bCs/>
          <w:sz w:val="24"/>
          <w:szCs w:val="24"/>
        </w:rPr>
        <w:t>Universitas Budi Luhur, Indonesia</w:t>
      </w:r>
    </w:p>
    <w:p w14:paraId="44AF0933" w14:textId="4C1D69F5" w:rsidR="00A04D3F" w:rsidRDefault="00000000" w:rsidP="00ED198D">
      <w:pPr>
        <w:spacing w:after="0"/>
        <w:jc w:val="center"/>
        <w:rPr>
          <w:rFonts w:ascii="Garamond" w:eastAsia="Arial" w:hAnsi="Garamond" w:cs="Arial"/>
          <w:sz w:val="24"/>
          <w:szCs w:val="24"/>
        </w:rPr>
      </w:pPr>
      <w:r w:rsidRPr="00ED198D">
        <w:rPr>
          <w:rFonts w:ascii="Garamond" w:eastAsia="Arial" w:hAnsi="Garamond" w:cs="Arial"/>
          <w:sz w:val="24"/>
          <w:szCs w:val="24"/>
        </w:rPr>
        <w:t xml:space="preserve">Correspondent: </w:t>
      </w:r>
      <w:hyperlink r:id="rId8">
        <w:r w:rsidRPr="00ED198D">
          <w:rPr>
            <w:rFonts w:ascii="Garamond" w:eastAsia="Arial" w:hAnsi="Garamond" w:cs="Arial"/>
            <w:color w:val="1155CC"/>
            <w:sz w:val="24"/>
            <w:szCs w:val="24"/>
            <w:u w:val="single"/>
          </w:rPr>
          <w:t>akbariani1006@gmail.com</w:t>
        </w:r>
      </w:hyperlink>
      <w:r w:rsidRPr="00ED198D">
        <w:rPr>
          <w:rFonts w:ascii="Garamond" w:eastAsia="Arial" w:hAnsi="Garamond" w:cs="Arial"/>
          <w:sz w:val="24"/>
          <w:szCs w:val="24"/>
          <w:vertAlign w:val="superscript"/>
        </w:rPr>
        <w:t>1</w:t>
      </w:r>
      <w:r w:rsidRPr="00ED198D">
        <w:rPr>
          <w:rFonts w:ascii="Garamond" w:eastAsia="Arial" w:hAnsi="Garamond" w:cs="Arial"/>
          <w:sz w:val="24"/>
          <w:szCs w:val="24"/>
        </w:rPr>
        <w:t xml:space="preserve"> </w:t>
      </w:r>
    </w:p>
    <w:p w14:paraId="278438A5" w14:textId="77777777" w:rsidR="00ED198D" w:rsidRPr="00ED198D" w:rsidRDefault="00ED198D" w:rsidP="00ED198D">
      <w:pPr>
        <w:spacing w:after="0"/>
        <w:jc w:val="center"/>
        <w:rPr>
          <w:rFonts w:ascii="Garamond" w:eastAsia="Arial" w:hAnsi="Garamond" w:cs="Arial"/>
          <w:sz w:val="24"/>
          <w:szCs w:val="24"/>
        </w:rPr>
      </w:pPr>
    </w:p>
    <w:tbl>
      <w:tblPr>
        <w:tblStyle w:val="a"/>
        <w:tblW w:w="9214" w:type="dxa"/>
        <w:tblBorders>
          <w:top w:val="single" w:sz="4" w:space="0" w:color="7F7F7F"/>
          <w:bottom w:val="single" w:sz="4" w:space="0" w:color="7F7F7F"/>
        </w:tblBorders>
        <w:tblLayout w:type="fixed"/>
        <w:tblLook w:val="04A0" w:firstRow="1" w:lastRow="0" w:firstColumn="1" w:lastColumn="0" w:noHBand="0" w:noVBand="1"/>
      </w:tblPr>
      <w:tblGrid>
        <w:gridCol w:w="3828"/>
        <w:gridCol w:w="5386"/>
      </w:tblGrid>
      <w:tr w:rsidR="00A04D3F" w14:paraId="7EA18F7E" w14:textId="77777777" w:rsidTr="00A143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auto"/>
            </w:tcBorders>
          </w:tcPr>
          <w:p w14:paraId="145113AF" w14:textId="2E6E96EC" w:rsidR="00ED198D" w:rsidRPr="00B27B85" w:rsidRDefault="00ED198D" w:rsidP="00ED198D">
            <w:pPr>
              <w:pStyle w:val="Heading1"/>
              <w:tabs>
                <w:tab w:val="left" w:pos="1029"/>
                <w:tab w:val="left" w:pos="5025"/>
              </w:tabs>
              <w:spacing w:before="120"/>
              <w:outlineLvl w:val="0"/>
              <w:rPr>
                <w:rFonts w:ascii="Garamond" w:hAnsi="Garamond"/>
                <w:color w:val="auto"/>
                <w:sz w:val="20"/>
                <w:szCs w:val="20"/>
              </w:rPr>
            </w:pPr>
            <w:bookmarkStart w:id="0" w:name="_heading=h.fcm6uyholilt" w:colFirst="0" w:colLast="0"/>
            <w:bookmarkEnd w:id="0"/>
            <w:r w:rsidRPr="00B27B85">
              <w:rPr>
                <w:rFonts w:ascii="Garamond" w:hAnsi="Garamond"/>
                <w:b w:val="0"/>
                <w:color w:val="auto"/>
                <w:sz w:val="20"/>
                <w:szCs w:val="20"/>
              </w:rPr>
              <w:t>Received</w:t>
            </w:r>
            <w:r w:rsidRPr="00B27B85">
              <w:rPr>
                <w:rFonts w:ascii="Garamond" w:hAnsi="Garamond"/>
                <w:b w:val="0"/>
                <w:color w:val="auto"/>
                <w:sz w:val="20"/>
                <w:szCs w:val="20"/>
              </w:rPr>
              <w:tab/>
              <w:t xml:space="preserve">: </w:t>
            </w:r>
            <w:r>
              <w:rPr>
                <w:rFonts w:ascii="Garamond" w:hAnsi="Garamond"/>
                <w:b w:val="0"/>
                <w:color w:val="auto"/>
                <w:sz w:val="20"/>
                <w:szCs w:val="20"/>
              </w:rPr>
              <w:t>August 2</w:t>
            </w:r>
            <w:r>
              <w:rPr>
                <w:rFonts w:ascii="Garamond" w:hAnsi="Garamond"/>
                <w:b w:val="0"/>
                <w:color w:val="auto"/>
                <w:sz w:val="20"/>
                <w:szCs w:val="20"/>
              </w:rPr>
              <w:t>7</w:t>
            </w:r>
            <w:r w:rsidRPr="00B27B85">
              <w:rPr>
                <w:rFonts w:ascii="Garamond" w:hAnsi="Garamond"/>
                <w:b w:val="0"/>
                <w:color w:val="auto"/>
                <w:sz w:val="20"/>
                <w:szCs w:val="20"/>
              </w:rPr>
              <w:t>, 2024</w:t>
            </w:r>
          </w:p>
          <w:p w14:paraId="056CD361" w14:textId="22D66E74" w:rsidR="00ED198D" w:rsidRPr="00B27B85" w:rsidRDefault="00ED198D" w:rsidP="00ED198D">
            <w:pPr>
              <w:pStyle w:val="Heading1"/>
              <w:tabs>
                <w:tab w:val="left" w:pos="1029"/>
                <w:tab w:val="left" w:pos="5025"/>
              </w:tabs>
              <w:spacing w:before="120"/>
              <w:outlineLvl w:val="0"/>
              <w:rPr>
                <w:rFonts w:ascii="Garamond" w:hAnsi="Garamond"/>
                <w:color w:val="auto"/>
                <w:sz w:val="20"/>
                <w:szCs w:val="20"/>
              </w:rPr>
            </w:pPr>
            <w:r w:rsidRPr="00B27B85">
              <w:rPr>
                <w:rFonts w:ascii="Garamond" w:hAnsi="Garamond"/>
                <w:b w:val="0"/>
                <w:color w:val="auto"/>
                <w:sz w:val="20"/>
                <w:szCs w:val="20"/>
              </w:rPr>
              <w:t>Accepted</w:t>
            </w:r>
            <w:r w:rsidRPr="00B27B85">
              <w:rPr>
                <w:rFonts w:ascii="Garamond" w:hAnsi="Garamond"/>
                <w:b w:val="0"/>
                <w:color w:val="auto"/>
                <w:sz w:val="20"/>
                <w:szCs w:val="20"/>
              </w:rPr>
              <w:tab/>
              <w:t xml:space="preserve">: </w:t>
            </w:r>
            <w:r>
              <w:rPr>
                <w:rFonts w:ascii="Garamond" w:hAnsi="Garamond"/>
                <w:b w:val="0"/>
                <w:color w:val="auto"/>
                <w:sz w:val="20"/>
                <w:szCs w:val="20"/>
              </w:rPr>
              <w:t>October 1</w:t>
            </w:r>
            <w:r>
              <w:rPr>
                <w:rFonts w:ascii="Garamond" w:hAnsi="Garamond"/>
                <w:b w:val="0"/>
                <w:color w:val="auto"/>
                <w:sz w:val="20"/>
                <w:szCs w:val="20"/>
              </w:rPr>
              <w:t>8</w:t>
            </w:r>
            <w:r w:rsidRPr="00B27B85">
              <w:rPr>
                <w:rFonts w:ascii="Garamond" w:hAnsi="Garamond"/>
                <w:b w:val="0"/>
                <w:color w:val="auto"/>
                <w:sz w:val="20"/>
                <w:szCs w:val="20"/>
              </w:rPr>
              <w:t>, 2024</w:t>
            </w:r>
          </w:p>
          <w:p w14:paraId="3AF5E98F" w14:textId="77777777" w:rsidR="00ED198D" w:rsidRPr="00B27B85" w:rsidRDefault="00ED198D" w:rsidP="00ED198D">
            <w:pPr>
              <w:pStyle w:val="Heading1"/>
              <w:tabs>
                <w:tab w:val="left" w:pos="1029"/>
                <w:tab w:val="left" w:pos="5025"/>
              </w:tabs>
              <w:spacing w:before="120"/>
              <w:outlineLvl w:val="0"/>
              <w:rPr>
                <w:rFonts w:ascii="Garamond" w:hAnsi="Garamond"/>
                <w:b w:val="0"/>
                <w:bCs/>
                <w:color w:val="auto"/>
                <w:sz w:val="20"/>
                <w:szCs w:val="20"/>
              </w:rPr>
            </w:pPr>
            <w:r w:rsidRPr="00B27B85">
              <w:rPr>
                <w:rFonts w:ascii="Garamond" w:hAnsi="Garamond"/>
                <w:b w:val="0"/>
                <w:color w:val="auto"/>
                <w:sz w:val="20"/>
                <w:szCs w:val="20"/>
              </w:rPr>
              <w:t>Published</w:t>
            </w:r>
            <w:r w:rsidRPr="00B27B85">
              <w:rPr>
                <w:rFonts w:ascii="Garamond" w:hAnsi="Garamond"/>
                <w:b w:val="0"/>
                <w:color w:val="auto"/>
                <w:sz w:val="20"/>
                <w:szCs w:val="20"/>
              </w:rPr>
              <w:tab/>
              <w:t xml:space="preserve">: </w:t>
            </w:r>
            <w:r>
              <w:rPr>
                <w:rFonts w:ascii="Garamond" w:hAnsi="Garamond"/>
                <w:b w:val="0"/>
                <w:color w:val="auto"/>
                <w:sz w:val="20"/>
                <w:szCs w:val="20"/>
              </w:rPr>
              <w:t>October 31</w:t>
            </w:r>
            <w:r w:rsidRPr="00B27B85">
              <w:rPr>
                <w:rFonts w:ascii="Garamond" w:hAnsi="Garamond"/>
                <w:b w:val="0"/>
                <w:color w:val="auto"/>
                <w:sz w:val="20"/>
                <w:szCs w:val="20"/>
              </w:rPr>
              <w:t>, 2024</w:t>
            </w:r>
          </w:p>
          <w:p w14:paraId="070DEB12" w14:textId="77777777" w:rsidR="00ED198D" w:rsidRPr="00B27B85" w:rsidRDefault="00ED198D" w:rsidP="00ED198D">
            <w:pPr>
              <w:pStyle w:val="Heading1"/>
              <w:tabs>
                <w:tab w:val="left" w:pos="5025"/>
              </w:tabs>
              <w:spacing w:before="120"/>
              <w:outlineLvl w:val="0"/>
              <w:rPr>
                <w:rFonts w:ascii="Garamond" w:hAnsi="Garamond"/>
                <w:color w:val="auto"/>
                <w:sz w:val="20"/>
                <w:szCs w:val="20"/>
                <w:lang w:val="id-ID"/>
              </w:rPr>
            </w:pPr>
          </w:p>
          <w:p w14:paraId="3BFFB608" w14:textId="77777777" w:rsidR="00ED198D" w:rsidRPr="00B27B85" w:rsidRDefault="00ED198D" w:rsidP="00ED198D">
            <w:pPr>
              <w:pStyle w:val="Heading1"/>
              <w:tabs>
                <w:tab w:val="left" w:pos="5025"/>
              </w:tabs>
              <w:spacing w:before="120"/>
              <w:outlineLvl w:val="0"/>
              <w:rPr>
                <w:rFonts w:ascii="Garamond" w:hAnsi="Garamond"/>
                <w:color w:val="auto"/>
                <w:sz w:val="20"/>
                <w:szCs w:val="20"/>
                <w:lang w:val="id-ID"/>
              </w:rPr>
            </w:pPr>
          </w:p>
          <w:p w14:paraId="5BF715FD" w14:textId="77777777" w:rsidR="00ED198D" w:rsidRPr="00B27B85" w:rsidRDefault="00ED198D" w:rsidP="00ED198D">
            <w:pPr>
              <w:rPr>
                <w:rFonts w:ascii="Garamond" w:hAnsi="Garamond"/>
                <w:b w:val="0"/>
                <w:bCs/>
                <w:lang w:val="id-ID"/>
              </w:rPr>
            </w:pPr>
          </w:p>
          <w:p w14:paraId="311376E2" w14:textId="77777777" w:rsidR="00ED198D" w:rsidRPr="00B27B85" w:rsidRDefault="00ED198D" w:rsidP="00ED198D">
            <w:pPr>
              <w:rPr>
                <w:rFonts w:ascii="Garamond" w:hAnsi="Garamond"/>
                <w:lang w:val="id-ID"/>
              </w:rPr>
            </w:pPr>
          </w:p>
          <w:p w14:paraId="0CADF30D" w14:textId="71D7390A" w:rsidR="00A04D3F" w:rsidRDefault="00ED198D" w:rsidP="00ED198D">
            <w:pPr>
              <w:pStyle w:val="Heading1"/>
              <w:tabs>
                <w:tab w:val="left" w:pos="5025"/>
              </w:tabs>
              <w:spacing w:before="120"/>
              <w:jc w:val="both"/>
              <w:outlineLvl w:val="0"/>
              <w:rPr>
                <w:rFonts w:ascii="Garamond" w:eastAsia="Garamond" w:hAnsi="Garamond" w:cs="Garamond"/>
                <w:color w:val="000000"/>
                <w:sz w:val="20"/>
                <w:szCs w:val="20"/>
              </w:rPr>
            </w:pPr>
            <w:r w:rsidRPr="00B27B85">
              <w:rPr>
                <w:rFonts w:ascii="Garamond" w:hAnsi="Garamond"/>
                <w:b w:val="0"/>
                <w:color w:val="auto"/>
                <w:sz w:val="20"/>
                <w:szCs w:val="20"/>
                <w:lang w:val="id-ID"/>
              </w:rPr>
              <w:t xml:space="preserve">Citation: </w:t>
            </w:r>
            <w:r>
              <w:rPr>
                <w:rFonts w:ascii="Garamond" w:hAnsi="Garamond"/>
                <w:b w:val="0"/>
                <w:color w:val="auto"/>
                <w:sz w:val="20"/>
                <w:szCs w:val="20"/>
                <w:lang w:val="id-ID"/>
              </w:rPr>
              <w:t>Akbariani, N, V., Setiyowati, H.</w:t>
            </w:r>
            <w:r>
              <w:rPr>
                <w:rFonts w:ascii="Garamond" w:hAnsi="Garamond"/>
                <w:b w:val="0"/>
                <w:color w:val="auto"/>
                <w:sz w:val="20"/>
                <w:szCs w:val="20"/>
                <w:lang w:val="id-ID"/>
              </w:rPr>
              <w:t xml:space="preserve"> </w:t>
            </w:r>
            <w:r w:rsidRPr="00B27B85">
              <w:rPr>
                <w:rFonts w:ascii="Garamond" w:hAnsi="Garamond"/>
                <w:b w:val="0"/>
                <w:color w:val="auto"/>
                <w:sz w:val="20"/>
                <w:szCs w:val="20"/>
              </w:rPr>
              <w:t xml:space="preserve">(2024). </w:t>
            </w:r>
            <w:r w:rsidRPr="00ED198D">
              <w:rPr>
                <w:rFonts w:ascii="Garamond" w:hAnsi="Garamond"/>
                <w:b w:val="0"/>
                <w:color w:val="auto"/>
                <w:sz w:val="20"/>
                <w:szCs w:val="20"/>
              </w:rPr>
              <w:t>Digital Meets Distribution: Quantifying the Impact of Logistics Integration in Emerging Market Omnichannel Retail</w:t>
            </w:r>
            <w:r w:rsidRPr="00B27B85">
              <w:rPr>
                <w:rFonts w:ascii="Garamond" w:hAnsi="Garamond"/>
                <w:b w:val="0"/>
                <w:color w:val="auto"/>
                <w:sz w:val="20"/>
                <w:szCs w:val="20"/>
              </w:rPr>
              <w:t>. Data: Journal of Information Systems and Management, 2 (</w:t>
            </w:r>
            <w:r>
              <w:rPr>
                <w:rFonts w:ascii="Garamond" w:hAnsi="Garamond"/>
                <w:b w:val="0"/>
                <w:color w:val="auto"/>
                <w:sz w:val="20"/>
                <w:szCs w:val="20"/>
              </w:rPr>
              <w:t>4</w:t>
            </w:r>
            <w:r w:rsidRPr="00B27B85">
              <w:rPr>
                <w:rFonts w:ascii="Garamond" w:hAnsi="Garamond"/>
                <w:b w:val="0"/>
                <w:color w:val="auto"/>
                <w:sz w:val="20"/>
                <w:szCs w:val="20"/>
              </w:rPr>
              <w:t xml:space="preserve">), </w:t>
            </w:r>
            <w:r>
              <w:rPr>
                <w:rFonts w:ascii="Garamond" w:hAnsi="Garamond"/>
                <w:b w:val="0"/>
                <w:color w:val="auto"/>
                <w:sz w:val="20"/>
                <w:szCs w:val="20"/>
              </w:rPr>
              <w:t>253-263</w:t>
            </w:r>
            <w:r>
              <w:rPr>
                <w:rFonts w:ascii="Garamond" w:hAnsi="Garamond"/>
                <w:b w:val="0"/>
                <w:color w:val="auto"/>
                <w:sz w:val="20"/>
                <w:szCs w:val="20"/>
              </w:rPr>
              <w:t>.</w:t>
            </w:r>
          </w:p>
        </w:tc>
        <w:tc>
          <w:tcPr>
            <w:tcW w:w="5386" w:type="dxa"/>
            <w:tcBorders>
              <w:top w:val="single" w:sz="4" w:space="0" w:color="7F7F7F"/>
              <w:left w:val="single" w:sz="4" w:space="0" w:color="auto"/>
            </w:tcBorders>
          </w:tcPr>
          <w:p w14:paraId="0851E509" w14:textId="77777777" w:rsidR="00A04D3F" w:rsidRDefault="00000000">
            <w:pPr>
              <w:pStyle w:val="Heading1"/>
              <w:tabs>
                <w:tab w:val="left" w:pos="5025"/>
              </w:tabs>
              <w:spacing w:before="120"/>
              <w:jc w:val="both"/>
              <w:outlineLvl w:val="0"/>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color w:val="000000"/>
                <w:sz w:val="22"/>
                <w:szCs w:val="22"/>
                <w:highlight w:val="white"/>
              </w:rPr>
            </w:pPr>
            <w:r>
              <w:rPr>
                <w:rFonts w:ascii="Garamond" w:eastAsia="Garamond" w:hAnsi="Garamond" w:cs="Garamond"/>
                <w:color w:val="000000"/>
                <w:sz w:val="22"/>
                <w:szCs w:val="22"/>
              </w:rPr>
              <w:t>ABSTRACT:</w:t>
            </w:r>
            <w:r>
              <w:rPr>
                <w:rFonts w:ascii="Garamond" w:eastAsia="Garamond" w:hAnsi="Garamond" w:cs="Garamond"/>
                <w:b w:val="0"/>
                <w:color w:val="000000"/>
                <w:sz w:val="22"/>
                <w:szCs w:val="22"/>
                <w:highlight w:val="white"/>
              </w:rPr>
              <w:t xml:space="preserve"> This study examines the impact of omnichannel logistics integration on retail service level performance in Indonesia between 2020 and 2024. Amidst rapid digital transformation in Southeast Asia, major Indonesian retailers such as AMRT, MIDI, MAPI, and LPPF have implemented innovations including store hubs, click-and-collect, and Pay &amp; Pick services to meet evolving consumer expectations. Using firm-level quarterly panel data and employing fixed effects and event study models, the study analyzes how omnichannel logistics adoption represented by infrastructure investments and digital feature rollout affects service-level indicators such as inventory turnover, fill rate, and on-time delivery. The findings indicate that logistics integration significantly improves service metrics, with firms observing a 4–6% improvement in performance indicators within two quarters of implementation. This underscores the strategic value of aligning digital and physical infrastructure in emerging markets, offering evidence that logistics integration enhances both operational efficiency and service quality. The study contributes to both theoretical literature and practical retail strategies by framing omnichannel performance through a quantitative, data-driven lens. </w:t>
            </w:r>
          </w:p>
          <w:p w14:paraId="48CC3D4C" w14:textId="77777777" w:rsidR="00A04D3F" w:rsidRDefault="00A04D3F">
            <w:pPr>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rPr>
            </w:pPr>
          </w:p>
          <w:p w14:paraId="5E585AD5" w14:textId="6714BFFB" w:rsidR="00A04D3F" w:rsidRDefault="00000000">
            <w:pPr>
              <w:jc w:val="both"/>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rPr>
            </w:pPr>
            <w:r>
              <w:rPr>
                <w:rFonts w:ascii="Garamond" w:eastAsia="Garamond" w:hAnsi="Garamond" w:cs="Garamond"/>
              </w:rPr>
              <w:t xml:space="preserve">Keywords: </w:t>
            </w:r>
            <w:r>
              <w:rPr>
                <w:rFonts w:ascii="Garamond" w:eastAsia="Garamond" w:hAnsi="Garamond" w:cs="Garamond"/>
                <w:b w:val="0"/>
              </w:rPr>
              <w:t xml:space="preserve"> Omnichannel Logistics</w:t>
            </w:r>
            <w:r w:rsidR="00ED198D">
              <w:rPr>
                <w:rFonts w:ascii="Garamond" w:eastAsia="Garamond" w:hAnsi="Garamond" w:cs="Garamond"/>
                <w:b w:val="0"/>
              </w:rPr>
              <w:t>,</w:t>
            </w:r>
            <w:r>
              <w:rPr>
                <w:rFonts w:ascii="Garamond" w:eastAsia="Garamond" w:hAnsi="Garamond" w:cs="Garamond"/>
                <w:b w:val="0"/>
              </w:rPr>
              <w:t xml:space="preserve"> Service Level</w:t>
            </w:r>
            <w:r w:rsidR="00ED198D">
              <w:rPr>
                <w:rFonts w:ascii="Garamond" w:eastAsia="Garamond" w:hAnsi="Garamond" w:cs="Garamond"/>
                <w:b w:val="0"/>
              </w:rPr>
              <w:t>,</w:t>
            </w:r>
            <w:r>
              <w:rPr>
                <w:rFonts w:ascii="Garamond" w:eastAsia="Garamond" w:hAnsi="Garamond" w:cs="Garamond"/>
                <w:b w:val="0"/>
              </w:rPr>
              <w:t xml:space="preserve"> Indonesia Retail</w:t>
            </w:r>
            <w:r w:rsidR="00ED198D">
              <w:rPr>
                <w:rFonts w:ascii="Garamond" w:eastAsia="Garamond" w:hAnsi="Garamond" w:cs="Garamond"/>
                <w:b w:val="0"/>
              </w:rPr>
              <w:t>,</w:t>
            </w:r>
            <w:r>
              <w:rPr>
                <w:rFonts w:ascii="Garamond" w:eastAsia="Garamond" w:hAnsi="Garamond" w:cs="Garamond"/>
                <w:b w:val="0"/>
              </w:rPr>
              <w:t xml:space="preserve"> Distribution Centers</w:t>
            </w:r>
            <w:r w:rsidR="00ED198D">
              <w:rPr>
                <w:rFonts w:ascii="Garamond" w:eastAsia="Garamond" w:hAnsi="Garamond" w:cs="Garamond"/>
                <w:b w:val="0"/>
              </w:rPr>
              <w:t>,</w:t>
            </w:r>
            <w:r>
              <w:rPr>
                <w:rFonts w:ascii="Garamond" w:eastAsia="Garamond" w:hAnsi="Garamond" w:cs="Garamond"/>
                <w:b w:val="0"/>
              </w:rPr>
              <w:t xml:space="preserve"> Click </w:t>
            </w:r>
            <w:r w:rsidR="00ED198D">
              <w:rPr>
                <w:rFonts w:ascii="Garamond" w:eastAsia="Garamond" w:hAnsi="Garamond" w:cs="Garamond"/>
                <w:b w:val="0"/>
              </w:rPr>
              <w:t>a</w:t>
            </w:r>
            <w:r>
              <w:rPr>
                <w:rFonts w:ascii="Garamond" w:eastAsia="Garamond" w:hAnsi="Garamond" w:cs="Garamond"/>
                <w:b w:val="0"/>
              </w:rPr>
              <w:t>nd Collect</w:t>
            </w:r>
            <w:r w:rsidR="00ED198D">
              <w:rPr>
                <w:rFonts w:ascii="Garamond" w:eastAsia="Garamond" w:hAnsi="Garamond" w:cs="Garamond"/>
                <w:b w:val="0"/>
              </w:rPr>
              <w:t>,</w:t>
            </w:r>
            <w:r>
              <w:rPr>
                <w:rFonts w:ascii="Garamond" w:eastAsia="Garamond" w:hAnsi="Garamond" w:cs="Garamond"/>
                <w:b w:val="0"/>
              </w:rPr>
              <w:t xml:space="preserve"> Pay &amp; Pick</w:t>
            </w:r>
            <w:r w:rsidR="00ED198D">
              <w:rPr>
                <w:rFonts w:ascii="Garamond" w:eastAsia="Garamond" w:hAnsi="Garamond" w:cs="Garamond"/>
                <w:b w:val="0"/>
              </w:rPr>
              <w:t>,</w:t>
            </w:r>
            <w:r>
              <w:rPr>
                <w:rFonts w:ascii="Garamond" w:eastAsia="Garamond" w:hAnsi="Garamond" w:cs="Garamond"/>
                <w:b w:val="0"/>
              </w:rPr>
              <w:t xml:space="preserve"> Panel Data Analysis.</w:t>
            </w:r>
          </w:p>
        </w:tc>
      </w:tr>
      <w:tr w:rsidR="00A04D3F" w14:paraId="7C3B92C0" w14:textId="77777777" w:rsidTr="00A04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000000"/>
            </w:tcBorders>
          </w:tcPr>
          <w:p w14:paraId="170AC71E" w14:textId="77777777" w:rsidR="00A04D3F" w:rsidRDefault="00A04D3F">
            <w:pPr>
              <w:pStyle w:val="Heading1"/>
              <w:tabs>
                <w:tab w:val="left" w:pos="5025"/>
              </w:tabs>
              <w:spacing w:before="120" w:after="120"/>
              <w:jc w:val="both"/>
              <w:outlineLvl w:val="0"/>
              <w:rPr>
                <w:rFonts w:ascii="Garamond" w:eastAsia="Garamond" w:hAnsi="Garamond" w:cs="Garamond"/>
                <w:color w:val="000000"/>
                <w:sz w:val="20"/>
                <w:szCs w:val="20"/>
              </w:rPr>
            </w:pPr>
          </w:p>
        </w:tc>
        <w:tc>
          <w:tcPr>
            <w:tcW w:w="5386" w:type="dxa"/>
            <w:tcBorders>
              <w:left w:val="single" w:sz="4" w:space="0" w:color="000000"/>
            </w:tcBorders>
          </w:tcPr>
          <w:p w14:paraId="13858492" w14:textId="77777777" w:rsidR="00A04D3F" w:rsidRDefault="00000000">
            <w:pPr>
              <w:pStyle w:val="Heading1"/>
              <w:tabs>
                <w:tab w:val="left" w:pos="5025"/>
              </w:tabs>
              <w:spacing w:before="0"/>
              <w:jc w:val="both"/>
              <w:outlineLvl w:val="0"/>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2"/>
                <w:szCs w:val="22"/>
              </w:rPr>
            </w:pPr>
            <w:r>
              <w:rPr>
                <w:rFonts w:ascii="Garamond" w:eastAsia="Garamond" w:hAnsi="Garamond" w:cs="Garamond"/>
                <w:color w:val="000000"/>
                <w:sz w:val="22"/>
                <w:szCs w:val="22"/>
              </w:rPr>
              <w:t xml:space="preserve">This is an open access article under the </w:t>
            </w:r>
            <w:r>
              <w:rPr>
                <w:noProof/>
              </w:rPr>
              <w:drawing>
                <wp:anchor distT="0" distB="0" distL="114300" distR="114300" simplePos="0" relativeHeight="251658240" behindDoc="0" locked="0" layoutInCell="1" hidden="0" allowOverlap="1" wp14:anchorId="13EDA047" wp14:editId="1E2A7626">
                  <wp:simplePos x="0" y="0"/>
                  <wp:positionH relativeFrom="column">
                    <wp:posOffset>-3809</wp:posOffset>
                  </wp:positionH>
                  <wp:positionV relativeFrom="paragraph">
                    <wp:posOffset>21590</wp:posOffset>
                  </wp:positionV>
                  <wp:extent cx="723900" cy="286951"/>
                  <wp:effectExtent l="0" t="0" r="0" b="0"/>
                  <wp:wrapSquare wrapText="bothSides" distT="0" distB="0" distL="114300" distR="114300"/>
                  <wp:docPr id="21085894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23900" cy="286951"/>
                          </a:xfrm>
                          <a:prstGeom prst="rect">
                            <a:avLst/>
                          </a:prstGeom>
                          <a:ln/>
                        </pic:spPr>
                      </pic:pic>
                    </a:graphicData>
                  </a:graphic>
                </wp:anchor>
              </w:drawing>
            </w:r>
          </w:p>
          <w:p w14:paraId="043B9123" w14:textId="77777777" w:rsidR="00A04D3F" w:rsidRDefault="00000000">
            <w:pP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rPr>
            </w:pPr>
            <w:r>
              <w:rPr>
                <w:rFonts w:ascii="Garamond" w:eastAsia="Garamond" w:hAnsi="Garamond" w:cs="Garamond"/>
              </w:rPr>
              <w:t>CC-BY 4.0 license</w:t>
            </w:r>
          </w:p>
        </w:tc>
      </w:tr>
    </w:tbl>
    <w:p w14:paraId="1479C1F2" w14:textId="77777777" w:rsidR="00A04D3F" w:rsidRDefault="00A04D3F">
      <w:pPr>
        <w:pStyle w:val="Heading1"/>
        <w:tabs>
          <w:tab w:val="left" w:pos="5025"/>
        </w:tabs>
        <w:spacing w:before="0" w:after="120" w:line="276" w:lineRule="auto"/>
        <w:rPr>
          <w:rFonts w:ascii="Garamond" w:eastAsia="Garamond" w:hAnsi="Garamond" w:cs="Garamond"/>
          <w:b/>
          <w:color w:val="000000"/>
          <w:sz w:val="24"/>
          <w:szCs w:val="24"/>
        </w:rPr>
      </w:pPr>
    </w:p>
    <w:p w14:paraId="1E120D80" w14:textId="77777777" w:rsidR="00A04D3F" w:rsidRDefault="00000000">
      <w:pPr>
        <w:pStyle w:val="Heading1"/>
        <w:spacing w:before="0" w:after="120" w:line="276" w:lineRule="auto"/>
        <w:rPr>
          <w:rFonts w:ascii="Garamond" w:eastAsia="Garamond" w:hAnsi="Garamond" w:cs="Garamond"/>
          <w:b/>
          <w:color w:val="000000"/>
          <w:sz w:val="24"/>
          <w:szCs w:val="24"/>
        </w:rPr>
      </w:pPr>
      <w:r>
        <w:rPr>
          <w:rFonts w:ascii="Garamond" w:eastAsia="Garamond" w:hAnsi="Garamond" w:cs="Garamond"/>
          <w:b/>
          <w:color w:val="000000"/>
          <w:sz w:val="24"/>
          <w:szCs w:val="24"/>
        </w:rPr>
        <w:t>INTRODUCTION</w:t>
      </w:r>
    </w:p>
    <w:p w14:paraId="359C9DE6"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Between 2020 and 2024, Indonesia's omnichannel retail landscape experienced a profound transformation, driven by socio-economic disruptions and rapid technological change. The COVID-19 pandemic notably accelerated this evolution, fundamentally altering consumer purchasing behavior and compelling retailers to integrate online and offline channels. In response, leading retail firms invested in digital infrastructure and restructured their operations to deliver seamless, multichannel experiences. This shift laid the foundation for digitally responsive ecosystems that prioritize agility, personalization, and logistical efficiency (Iglesías-Pradas &amp; Acquila-Natale, 2023; Lehrer &amp; Trenz, 2022).</w:t>
      </w:r>
    </w:p>
    <w:p w14:paraId="54625573"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This digital evolution has significant implications for logistics infrastructure in emerging markets. In Indonesia, logistics modernization through expanded distribution centers, store hubs, and local delivery points has enabled retailers to support new omnichannel business models. Features such as "buy online, pick up in store" (BOPS) leverage physical store networks to fulfill online orders more efficiently. These logistics innovations not only improve delivery speed but also enhance inventory management, allowing firms to meet rising customer expectations in a competitive digital market (Buldeo et al., 2019).</w:t>
      </w:r>
    </w:p>
    <w:p w14:paraId="5B74EEE6"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However, the implementation of omnichannel logistics strategies in developing economies remains fraught with structural challenges. Infrastructural disparities across regions, elevated operational costs, and coordination frictions among supply chain actors complicate omnichannel execution. Retailers in Indonesia must therefore navigate these issues by investing strategically in logistics technologies and forming synergistic partnerships to ensure alignment across platforms and channels (Mishra et al., 2020; Sousa et al., 2021).</w:t>
      </w:r>
    </w:p>
    <w:p w14:paraId="2FFDCA64"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As digital commerce advances, consumer expectations are evolving rapidly. Beyond convenience and product variety, consumers now demand hyper personalized and consistent experiences. The integration of analytics and artificial intelligence into omnichannel systems has become central to fulfilling this demand. By analyzing customer behavior across touchpoints, retailers can tailor offerings and communications to individual preferences, strengthening customer loyalty and improving engagement outcomes (Ayensa et al., 2016; Faber et al., 2017).</w:t>
      </w:r>
    </w:p>
    <w:p w14:paraId="364A3A31"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In this context, logistics performance is critical to service level quality. The relationship between logistical efficiency and customer satisfaction is well established: efficient warehouse management, reliable delivery, and optimized inventory turnover reduce wait times and stockouts, thereby improving customer experiences. These improvements directly correlate with customer retention, as service consistency becomes a differentiating factor in highly competitive markets (Ishfaq et al., 2023; Murfield et al., 2017).</w:t>
      </w:r>
    </w:p>
    <w:p w14:paraId="58A737CD"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Evaluating omnichannel performance thus requires a comprehensive analytical framework that can account for multiple performance dimensions customer satisfaction, service speed, inventory turnover, and operational efficiency. Such frameworks are especially important in developing contexts where market volatility and infrastructure constraints necessitate agile decision making. Retailers must not only respond to market demands but anticipate shifts in consumer expectations through data driven insights and adaptive strategies (Urbaitytė &amp; Ulbinaitė, 2020).</w:t>
      </w:r>
    </w:p>
    <w:p w14:paraId="221490B0"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Against this backdrop, the present study explores the relationship between logistics integration and service level performance in Indonesian retail chains. While previous studies have acknowledged the strategic role of logistics in omnichannel systems, few have quantified this relationship in emerging markets using firm level panel data. This research addresses that gap by examining how variables such as the presence of click and collect systems, the number of distribution centers and store hubs, and the share of online revenue contribute to measurable improvements in service level performance.</w:t>
      </w:r>
    </w:p>
    <w:p w14:paraId="09FF61EB"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The central objective of this study is to assess whether the implementation of omnichannel logistics strategies significantly influences service level indicators. We posit that logistics infrastructure, when integrated with digital retail systems, functions as a key enabler of service excellence. In doing so, the study offers an empirical lens on the operational transformations occurring in Indonesian retail and provides insights that may inform policy and business strategy across similar developing markets.</w:t>
      </w:r>
    </w:p>
    <w:p w14:paraId="255C2DC5" w14:textId="77777777" w:rsidR="00A04D3F" w:rsidRDefault="00A04D3F">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p>
    <w:p w14:paraId="5C549749" w14:textId="77777777" w:rsidR="00A04D3F" w:rsidRDefault="00000000">
      <w:pPr>
        <w:spacing w:line="276" w:lineRule="auto"/>
        <w:rPr>
          <w:rFonts w:ascii="Garamond" w:eastAsia="Garamond" w:hAnsi="Garamond" w:cs="Garamond"/>
          <w:b/>
          <w:sz w:val="24"/>
          <w:szCs w:val="24"/>
        </w:rPr>
      </w:pPr>
      <w:r>
        <w:rPr>
          <w:rFonts w:ascii="Garamond" w:eastAsia="Garamond" w:hAnsi="Garamond" w:cs="Garamond"/>
          <w:b/>
          <w:sz w:val="24"/>
          <w:szCs w:val="24"/>
        </w:rPr>
        <w:t>METHOD</w:t>
      </w:r>
    </w:p>
    <w:p w14:paraId="343CB89E"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This study employs a panel data approach to investigate the impact of omnichannel logistics integration on service level performance among leading Indonesian retailers between 2020 and 2024. The methodology is designed to accommodate firm specific and temporal heterogeneity, while accounting for potential endogeneity and structural interventions.</w:t>
      </w:r>
    </w:p>
    <w:p w14:paraId="7FDB9C01"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The analysis is structured around a firm quarter panel dataset comprising six major Indonesian retail chains: AMRT (Alfamart), MIDI (Alfamidi), MAPI (MAP), LPPF (Matahari), ERAA (Erajaya), and HERO (Hero Supermarket). Data points span from Q1 2020 to Q4 2024, with quarterly observations for each firm. Key variables were sourced from public management presentations, financial disclosures, and macroeconomic indicators (e.g., Bank Indonesia IPR).</w:t>
      </w:r>
    </w:p>
    <w:p w14:paraId="4D5788B7"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Dependent Variable:</w:t>
      </w:r>
    </w:p>
    <w:p w14:paraId="3224A601" w14:textId="77777777" w:rsidR="00A04D3F" w:rsidRDefault="00000000" w:rsidP="00ED198D">
      <w:pPr>
        <w:numPr>
          <w:ilvl w:val="0"/>
          <w:numId w:val="1"/>
        </w:numPr>
        <w:pBdr>
          <w:top w:val="nil"/>
          <w:left w:val="nil"/>
          <w:bottom w:val="nil"/>
          <w:right w:val="nil"/>
          <w:between w:val="nil"/>
        </w:pBdr>
        <w:spacing w:before="280" w:after="280" w:line="276" w:lineRule="auto"/>
        <w:ind w:left="360"/>
        <w:rPr>
          <w:rFonts w:ascii="Garamond" w:eastAsia="Garamond" w:hAnsi="Garamond" w:cs="Garamond"/>
          <w:color w:val="000000"/>
          <w:sz w:val="24"/>
          <w:szCs w:val="24"/>
        </w:rPr>
      </w:pPr>
      <w:r>
        <w:rPr>
          <w:rFonts w:ascii="Garamond" w:eastAsia="Garamond" w:hAnsi="Garamond" w:cs="Garamond"/>
          <w:i/>
          <w:color w:val="000000"/>
          <w:sz w:val="24"/>
          <w:szCs w:val="24"/>
        </w:rPr>
        <w:t>ServiceLevel_it</w:t>
      </w:r>
      <w:r>
        <w:rPr>
          <w:rFonts w:ascii="Garamond" w:eastAsia="Garamond" w:hAnsi="Garamond" w:cs="Garamond"/>
          <w:color w:val="000000"/>
          <w:sz w:val="24"/>
          <w:szCs w:val="24"/>
        </w:rPr>
        <w:t>: A proxy for service level performance, constructed using standardized indicators such as Inventory Turnover, Fill Rate, and On Time Delivery (OTD). Inventory Turnover is calculated as COGS divided by average inventory during a period, Fill Rate as the ratio of completely fulfilled customer orders, and OTD as the share of orders delivered on time (Jaisinghani et al., 2019).</w:t>
      </w:r>
    </w:p>
    <w:p w14:paraId="43013FD1" w14:textId="77777777" w:rsidR="00A04D3F" w:rsidRDefault="00A04D3F" w:rsidP="00ED198D">
      <w:pPr>
        <w:pBdr>
          <w:top w:val="nil"/>
          <w:left w:val="nil"/>
          <w:bottom w:val="nil"/>
          <w:right w:val="nil"/>
          <w:between w:val="nil"/>
        </w:pBdr>
        <w:spacing w:before="280" w:after="280" w:line="276" w:lineRule="auto"/>
        <w:rPr>
          <w:rFonts w:ascii="Garamond" w:eastAsia="Garamond" w:hAnsi="Garamond" w:cs="Garamond"/>
          <w:color w:val="000000"/>
          <w:sz w:val="24"/>
          <w:szCs w:val="24"/>
        </w:rPr>
      </w:pPr>
    </w:p>
    <w:p w14:paraId="21FA0B65" w14:textId="77777777" w:rsidR="00A04D3F" w:rsidRDefault="00000000" w:rsidP="00ED198D">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Independent Variables:</w:t>
      </w:r>
    </w:p>
    <w:p w14:paraId="1093ECB3" w14:textId="77777777" w:rsidR="00A04D3F" w:rsidRDefault="00000000" w:rsidP="00ED198D">
      <w:pPr>
        <w:numPr>
          <w:ilvl w:val="0"/>
          <w:numId w:val="2"/>
        </w:numPr>
        <w:pBdr>
          <w:top w:val="nil"/>
          <w:left w:val="nil"/>
          <w:bottom w:val="nil"/>
          <w:right w:val="nil"/>
          <w:between w:val="nil"/>
        </w:pBdr>
        <w:spacing w:before="280" w:after="0" w:line="276" w:lineRule="auto"/>
        <w:ind w:left="360"/>
        <w:rPr>
          <w:rFonts w:ascii="Garamond" w:eastAsia="Garamond" w:hAnsi="Garamond" w:cs="Garamond"/>
          <w:color w:val="000000"/>
          <w:sz w:val="24"/>
          <w:szCs w:val="24"/>
        </w:rPr>
      </w:pPr>
      <w:r>
        <w:rPr>
          <w:rFonts w:ascii="Garamond" w:eastAsia="Garamond" w:hAnsi="Garamond" w:cs="Garamond"/>
          <w:i/>
          <w:color w:val="000000"/>
          <w:sz w:val="24"/>
          <w:szCs w:val="24"/>
        </w:rPr>
        <w:t>OmnichannelDummy_it</w:t>
      </w:r>
      <w:r>
        <w:rPr>
          <w:rFonts w:ascii="Garamond" w:eastAsia="Garamond" w:hAnsi="Garamond" w:cs="Garamond"/>
          <w:color w:val="000000"/>
          <w:sz w:val="24"/>
          <w:szCs w:val="24"/>
        </w:rPr>
        <w:t>: Binary indicator for implementation of omnichannel features (e.g., Pay &amp; Pick, click and collect systems) in a given firm quarter.</w:t>
      </w:r>
    </w:p>
    <w:p w14:paraId="15EC3BB0" w14:textId="77777777" w:rsidR="00A04D3F" w:rsidRDefault="00000000" w:rsidP="00ED198D">
      <w:pPr>
        <w:numPr>
          <w:ilvl w:val="0"/>
          <w:numId w:val="2"/>
        </w:numPr>
        <w:pBdr>
          <w:top w:val="nil"/>
          <w:left w:val="nil"/>
          <w:bottom w:val="nil"/>
          <w:right w:val="nil"/>
          <w:between w:val="nil"/>
        </w:pBdr>
        <w:spacing w:after="0" w:line="276" w:lineRule="auto"/>
        <w:ind w:left="360"/>
        <w:rPr>
          <w:rFonts w:ascii="Garamond" w:eastAsia="Garamond" w:hAnsi="Garamond" w:cs="Garamond"/>
          <w:color w:val="000000"/>
          <w:sz w:val="24"/>
          <w:szCs w:val="24"/>
        </w:rPr>
      </w:pPr>
      <w:r>
        <w:rPr>
          <w:rFonts w:ascii="Garamond" w:eastAsia="Garamond" w:hAnsi="Garamond" w:cs="Garamond"/>
          <w:i/>
          <w:color w:val="000000"/>
          <w:sz w:val="24"/>
          <w:szCs w:val="24"/>
        </w:rPr>
        <w:t>OnlineShare_it</w:t>
      </w:r>
      <w:r>
        <w:rPr>
          <w:rFonts w:ascii="Garamond" w:eastAsia="Garamond" w:hAnsi="Garamond" w:cs="Garamond"/>
          <w:color w:val="000000"/>
          <w:sz w:val="24"/>
          <w:szCs w:val="24"/>
        </w:rPr>
        <w:t>: Share of total revenue attributed to online channels.</w:t>
      </w:r>
    </w:p>
    <w:p w14:paraId="22BA8C4E" w14:textId="77777777" w:rsidR="00A04D3F" w:rsidRDefault="00000000" w:rsidP="00ED198D">
      <w:pPr>
        <w:numPr>
          <w:ilvl w:val="0"/>
          <w:numId w:val="2"/>
        </w:numPr>
        <w:pBdr>
          <w:top w:val="nil"/>
          <w:left w:val="nil"/>
          <w:bottom w:val="nil"/>
          <w:right w:val="nil"/>
          <w:between w:val="nil"/>
        </w:pBdr>
        <w:spacing w:after="0" w:line="276" w:lineRule="auto"/>
        <w:ind w:left="360"/>
        <w:rPr>
          <w:rFonts w:ascii="Garamond" w:eastAsia="Garamond" w:hAnsi="Garamond" w:cs="Garamond"/>
          <w:color w:val="000000"/>
          <w:sz w:val="24"/>
          <w:szCs w:val="24"/>
        </w:rPr>
      </w:pPr>
      <w:r>
        <w:rPr>
          <w:rFonts w:ascii="Garamond" w:eastAsia="Garamond" w:hAnsi="Garamond" w:cs="Garamond"/>
          <w:i/>
          <w:color w:val="000000"/>
          <w:sz w:val="24"/>
          <w:szCs w:val="24"/>
        </w:rPr>
        <w:t>DC_Count_it</w:t>
      </w:r>
      <w:r>
        <w:rPr>
          <w:rFonts w:ascii="Garamond" w:eastAsia="Garamond" w:hAnsi="Garamond" w:cs="Garamond"/>
          <w:color w:val="000000"/>
          <w:sz w:val="24"/>
          <w:szCs w:val="24"/>
        </w:rPr>
        <w:t>: Number of operational distribution centers.</w:t>
      </w:r>
    </w:p>
    <w:p w14:paraId="69A55D1B" w14:textId="77777777" w:rsidR="00A04D3F" w:rsidRDefault="00000000" w:rsidP="00ED198D">
      <w:pPr>
        <w:numPr>
          <w:ilvl w:val="0"/>
          <w:numId w:val="2"/>
        </w:numPr>
        <w:pBdr>
          <w:top w:val="nil"/>
          <w:left w:val="nil"/>
          <w:bottom w:val="nil"/>
          <w:right w:val="nil"/>
          <w:between w:val="nil"/>
        </w:pBdr>
        <w:spacing w:after="280" w:line="276" w:lineRule="auto"/>
        <w:ind w:left="360"/>
        <w:rPr>
          <w:rFonts w:ascii="Garamond" w:eastAsia="Garamond" w:hAnsi="Garamond" w:cs="Garamond"/>
          <w:color w:val="000000"/>
          <w:sz w:val="24"/>
          <w:szCs w:val="24"/>
        </w:rPr>
      </w:pPr>
      <w:r>
        <w:rPr>
          <w:rFonts w:ascii="Garamond" w:eastAsia="Garamond" w:hAnsi="Garamond" w:cs="Garamond"/>
          <w:i/>
          <w:color w:val="000000"/>
          <w:sz w:val="24"/>
          <w:szCs w:val="24"/>
        </w:rPr>
        <w:t>StoreHubs_it</w:t>
      </w:r>
      <w:r>
        <w:rPr>
          <w:rFonts w:ascii="Garamond" w:eastAsia="Garamond" w:hAnsi="Garamond" w:cs="Garamond"/>
          <w:color w:val="000000"/>
          <w:sz w:val="24"/>
          <w:szCs w:val="24"/>
        </w:rPr>
        <w:t>: Number of active store hubs used for last mile delivery.</w:t>
      </w:r>
    </w:p>
    <w:p w14:paraId="07F1CDAC" w14:textId="77777777" w:rsidR="00A04D3F" w:rsidRDefault="00000000" w:rsidP="00ED198D">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Control Variables:</w:t>
      </w:r>
    </w:p>
    <w:p w14:paraId="626BF26F" w14:textId="77777777" w:rsidR="00A04D3F" w:rsidRDefault="00000000" w:rsidP="00ED198D">
      <w:pPr>
        <w:numPr>
          <w:ilvl w:val="0"/>
          <w:numId w:val="3"/>
        </w:numPr>
        <w:pBdr>
          <w:top w:val="nil"/>
          <w:left w:val="nil"/>
          <w:bottom w:val="nil"/>
          <w:right w:val="nil"/>
          <w:between w:val="nil"/>
        </w:pBdr>
        <w:spacing w:before="280" w:after="0" w:line="276" w:lineRule="auto"/>
        <w:ind w:left="360"/>
        <w:rPr>
          <w:rFonts w:ascii="Garamond" w:eastAsia="Garamond" w:hAnsi="Garamond" w:cs="Garamond"/>
          <w:color w:val="000000"/>
          <w:sz w:val="24"/>
          <w:szCs w:val="24"/>
        </w:rPr>
      </w:pPr>
      <w:r>
        <w:rPr>
          <w:rFonts w:ascii="Garamond" w:eastAsia="Garamond" w:hAnsi="Garamond" w:cs="Garamond"/>
          <w:i/>
          <w:color w:val="000000"/>
          <w:sz w:val="24"/>
          <w:szCs w:val="24"/>
        </w:rPr>
        <w:t>GM%_it</w:t>
      </w:r>
      <w:r>
        <w:rPr>
          <w:rFonts w:ascii="Garamond" w:eastAsia="Garamond" w:hAnsi="Garamond" w:cs="Garamond"/>
          <w:color w:val="000000"/>
          <w:sz w:val="24"/>
          <w:szCs w:val="24"/>
        </w:rPr>
        <w:t>: Gross margin percentage.</w:t>
      </w:r>
    </w:p>
    <w:p w14:paraId="624079F1" w14:textId="77777777" w:rsidR="00A04D3F" w:rsidRDefault="00000000" w:rsidP="00ED198D">
      <w:pPr>
        <w:numPr>
          <w:ilvl w:val="0"/>
          <w:numId w:val="3"/>
        </w:numPr>
        <w:pBdr>
          <w:top w:val="nil"/>
          <w:left w:val="nil"/>
          <w:bottom w:val="nil"/>
          <w:right w:val="nil"/>
          <w:between w:val="nil"/>
        </w:pBdr>
        <w:spacing w:after="0" w:line="276" w:lineRule="auto"/>
        <w:ind w:left="360"/>
        <w:rPr>
          <w:rFonts w:ascii="Garamond" w:eastAsia="Garamond" w:hAnsi="Garamond" w:cs="Garamond"/>
          <w:color w:val="000000"/>
          <w:sz w:val="24"/>
          <w:szCs w:val="24"/>
        </w:rPr>
      </w:pPr>
      <w:r>
        <w:rPr>
          <w:rFonts w:ascii="Garamond" w:eastAsia="Garamond" w:hAnsi="Garamond" w:cs="Garamond"/>
          <w:i/>
          <w:color w:val="000000"/>
          <w:sz w:val="24"/>
          <w:szCs w:val="24"/>
        </w:rPr>
        <w:t>SGA%_it</w:t>
      </w:r>
      <w:r>
        <w:rPr>
          <w:rFonts w:ascii="Garamond" w:eastAsia="Garamond" w:hAnsi="Garamond" w:cs="Garamond"/>
          <w:color w:val="000000"/>
          <w:sz w:val="24"/>
          <w:szCs w:val="24"/>
        </w:rPr>
        <w:t>: Selling, general, and administrative expense ratio.</w:t>
      </w:r>
    </w:p>
    <w:p w14:paraId="5E9308C9" w14:textId="77777777" w:rsidR="00A04D3F" w:rsidRDefault="00000000" w:rsidP="00ED198D">
      <w:pPr>
        <w:numPr>
          <w:ilvl w:val="0"/>
          <w:numId w:val="3"/>
        </w:numPr>
        <w:pBdr>
          <w:top w:val="nil"/>
          <w:left w:val="nil"/>
          <w:bottom w:val="nil"/>
          <w:right w:val="nil"/>
          <w:between w:val="nil"/>
        </w:pBdr>
        <w:spacing w:after="0" w:line="276" w:lineRule="auto"/>
        <w:ind w:left="360"/>
        <w:rPr>
          <w:rFonts w:ascii="Garamond" w:eastAsia="Garamond" w:hAnsi="Garamond" w:cs="Garamond"/>
          <w:color w:val="000000"/>
          <w:sz w:val="24"/>
          <w:szCs w:val="24"/>
        </w:rPr>
      </w:pPr>
      <w:r>
        <w:rPr>
          <w:rFonts w:ascii="Garamond" w:eastAsia="Garamond" w:hAnsi="Garamond" w:cs="Garamond"/>
          <w:i/>
          <w:color w:val="000000"/>
          <w:sz w:val="24"/>
          <w:szCs w:val="24"/>
        </w:rPr>
        <w:t>IPR_t</w:t>
      </w:r>
      <w:r>
        <w:rPr>
          <w:rFonts w:ascii="Garamond" w:eastAsia="Garamond" w:hAnsi="Garamond" w:cs="Garamond"/>
          <w:color w:val="000000"/>
          <w:sz w:val="24"/>
          <w:szCs w:val="24"/>
        </w:rPr>
        <w:t>: Monthly Retail Sales Index (IPR) from Bank Indonesia as macroeconomic control.</w:t>
      </w:r>
    </w:p>
    <w:p w14:paraId="49C4F8FC" w14:textId="77777777" w:rsidR="00A04D3F" w:rsidRDefault="00000000">
      <w:pPr>
        <w:numPr>
          <w:ilvl w:val="0"/>
          <w:numId w:val="3"/>
        </w:numPr>
        <w:pBdr>
          <w:top w:val="nil"/>
          <w:left w:val="nil"/>
          <w:bottom w:val="nil"/>
          <w:right w:val="nil"/>
          <w:between w:val="nil"/>
        </w:pBdr>
        <w:spacing w:after="280" w:line="276" w:lineRule="auto"/>
        <w:rPr>
          <w:rFonts w:ascii="Garamond" w:eastAsia="Garamond" w:hAnsi="Garamond" w:cs="Garamond"/>
          <w:color w:val="000000"/>
          <w:sz w:val="24"/>
          <w:szCs w:val="24"/>
        </w:rPr>
      </w:pPr>
      <w:r>
        <w:rPr>
          <w:rFonts w:ascii="Garamond" w:eastAsia="Garamond" w:hAnsi="Garamond" w:cs="Garamond"/>
          <w:i/>
          <w:color w:val="000000"/>
          <w:sz w:val="24"/>
          <w:szCs w:val="24"/>
        </w:rPr>
        <w:t>Seasonality</w:t>
      </w:r>
      <w:r>
        <w:rPr>
          <w:rFonts w:ascii="Garamond" w:eastAsia="Garamond" w:hAnsi="Garamond" w:cs="Garamond"/>
          <w:color w:val="000000"/>
          <w:sz w:val="24"/>
          <w:szCs w:val="24"/>
        </w:rPr>
        <w:t>: Dummy variables for HBKN (religious holiday seasons) to adjust for demand fluctuations.</w:t>
      </w:r>
    </w:p>
    <w:p w14:paraId="2490BFF4" w14:textId="552D359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Estimation Approach</w:t>
      </w:r>
    </w:p>
    <w:p w14:paraId="6020B666"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Panel Data Models:</w:t>
      </w:r>
    </w:p>
    <w:p w14:paraId="62026130"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The primary estimation employs the Fixed Effects (FE) model, which controls for unobserved heterogeneity by allowing firm specific intercepts. This approach is suitable where time invariant characteristics of firms may correlate with predictors (Athari &amp; Bahreini, 2022). FE models mitigate bias arising from omitted variable problems typical in firm level retail studies.</w:t>
      </w:r>
    </w:p>
    <w:p w14:paraId="10574B21"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Robustness Checks:</w:t>
      </w:r>
    </w:p>
    <w:p w14:paraId="7FE9D88C"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Additional checks include Random Effects (RE) estimation to test the assumption of no correlation between firm specific effects and explanatory variables (Haron et al., 2021), and the System Generalized Method of Moments (System GMM) for dynamic specifications where past performance may influence current outcomes (Nadeem et al., 2017).</w:t>
      </w:r>
    </w:p>
    <w:p w14:paraId="49256F77" w14:textId="426DB40D"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Intervention Analysis: DiD and Event Study</w:t>
      </w:r>
    </w:p>
    <w:p w14:paraId="3C3204C4"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To identify causal effects of </w:t>
      </w:r>
      <w:proofErr w:type="gramStart"/>
      <w:r>
        <w:rPr>
          <w:rFonts w:ascii="Garamond" w:eastAsia="Garamond" w:hAnsi="Garamond" w:cs="Garamond"/>
          <w:color w:val="000000"/>
          <w:sz w:val="24"/>
          <w:szCs w:val="24"/>
        </w:rPr>
        <w:t>logistics</w:t>
      </w:r>
      <w:proofErr w:type="gramEnd"/>
      <w:r>
        <w:rPr>
          <w:rFonts w:ascii="Garamond" w:eastAsia="Garamond" w:hAnsi="Garamond" w:cs="Garamond"/>
          <w:color w:val="000000"/>
          <w:sz w:val="24"/>
          <w:szCs w:val="24"/>
        </w:rPr>
        <w:t xml:space="preserve"> feature rollouts (e.g., MAP’s Pay &amp; Pick activation), the study applies two identification strategies:</w:t>
      </w:r>
    </w:p>
    <w:p w14:paraId="65EDB98E" w14:textId="77777777" w:rsidR="00A04D3F" w:rsidRDefault="00000000">
      <w:pPr>
        <w:numPr>
          <w:ilvl w:val="0"/>
          <w:numId w:val="4"/>
        </w:numPr>
        <w:pBdr>
          <w:top w:val="nil"/>
          <w:left w:val="nil"/>
          <w:bottom w:val="nil"/>
          <w:right w:val="nil"/>
          <w:between w:val="nil"/>
        </w:pBdr>
        <w:spacing w:before="280" w:after="0" w:line="276" w:lineRule="auto"/>
        <w:rPr>
          <w:rFonts w:ascii="Garamond" w:eastAsia="Garamond" w:hAnsi="Garamond" w:cs="Garamond"/>
          <w:color w:val="000000"/>
          <w:sz w:val="24"/>
          <w:szCs w:val="24"/>
        </w:rPr>
      </w:pPr>
      <w:r>
        <w:rPr>
          <w:rFonts w:ascii="Garamond" w:eastAsia="Garamond" w:hAnsi="Garamond" w:cs="Garamond"/>
          <w:i/>
          <w:color w:val="000000"/>
          <w:sz w:val="24"/>
          <w:szCs w:val="24"/>
        </w:rPr>
        <w:t>Difference in Differences (DiD)</w:t>
      </w:r>
      <w:r>
        <w:rPr>
          <w:rFonts w:ascii="Garamond" w:eastAsia="Garamond" w:hAnsi="Garamond" w:cs="Garamond"/>
          <w:color w:val="000000"/>
          <w:sz w:val="24"/>
          <w:szCs w:val="24"/>
        </w:rPr>
        <w:t xml:space="preserve">: Compares firms with and without omnichannel interventions across </w:t>
      </w:r>
      <w:proofErr w:type="gramStart"/>
      <w:r>
        <w:rPr>
          <w:rFonts w:ascii="Garamond" w:eastAsia="Garamond" w:hAnsi="Garamond" w:cs="Garamond"/>
          <w:color w:val="000000"/>
          <w:sz w:val="24"/>
          <w:szCs w:val="24"/>
        </w:rPr>
        <w:t>pre  and</w:t>
      </w:r>
      <w:proofErr w:type="gramEnd"/>
      <w:r>
        <w:rPr>
          <w:rFonts w:ascii="Garamond" w:eastAsia="Garamond" w:hAnsi="Garamond" w:cs="Garamond"/>
          <w:color w:val="000000"/>
          <w:sz w:val="24"/>
          <w:szCs w:val="24"/>
        </w:rPr>
        <w:t xml:space="preserve"> post implementation periods, controlling for shared time trends (Zhu et al., 2022).</w:t>
      </w:r>
    </w:p>
    <w:p w14:paraId="6BF45B11" w14:textId="77777777" w:rsidR="00A04D3F" w:rsidRDefault="00000000">
      <w:pPr>
        <w:numPr>
          <w:ilvl w:val="0"/>
          <w:numId w:val="4"/>
        </w:numPr>
        <w:pBdr>
          <w:top w:val="nil"/>
          <w:left w:val="nil"/>
          <w:bottom w:val="nil"/>
          <w:right w:val="nil"/>
          <w:between w:val="nil"/>
        </w:pBdr>
        <w:spacing w:after="280" w:line="276" w:lineRule="auto"/>
        <w:rPr>
          <w:rFonts w:ascii="Garamond" w:eastAsia="Garamond" w:hAnsi="Garamond" w:cs="Garamond"/>
          <w:color w:val="000000"/>
          <w:sz w:val="24"/>
          <w:szCs w:val="24"/>
        </w:rPr>
      </w:pPr>
      <w:r>
        <w:rPr>
          <w:rFonts w:ascii="Garamond" w:eastAsia="Garamond" w:hAnsi="Garamond" w:cs="Garamond"/>
          <w:i/>
          <w:color w:val="000000"/>
          <w:sz w:val="24"/>
          <w:szCs w:val="24"/>
        </w:rPr>
        <w:t>Event Study</w:t>
      </w:r>
      <w:r>
        <w:rPr>
          <w:rFonts w:ascii="Garamond" w:eastAsia="Garamond" w:hAnsi="Garamond" w:cs="Garamond"/>
          <w:color w:val="000000"/>
          <w:sz w:val="24"/>
          <w:szCs w:val="24"/>
        </w:rPr>
        <w:t>: Focuses on discrete firm level events, tracking performance changes around key milestones such as the introduction of store hubs or digital logistics capabilities (Mahakitsiri &amp; Suwanprasert, 2022).</w:t>
      </w:r>
    </w:p>
    <w:p w14:paraId="18569D41"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These strategies allow the disentanglement of endogenous changes from exogenous shocks, providing a rigorous framework to evaluate the impact of strategic logistics decisions on service level outcomes.</w:t>
      </w:r>
    </w:p>
    <w:p w14:paraId="4DDB86AD" w14:textId="05A13A88"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Methodological Significance</w:t>
      </w:r>
    </w:p>
    <w:p w14:paraId="79CA804C" w14:textId="77777777" w:rsidR="00A04D3F"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The multi method design offers both breadth and depth in assessing logistics integration’s effect on retail performance. It aligns with best practices in empirical operations research and extends the literature by applying these techniques in the context of an emerging market.</w:t>
      </w:r>
    </w:p>
    <w:p w14:paraId="18430166" w14:textId="77777777" w:rsidR="00ED198D" w:rsidRDefault="00ED198D">
      <w:pPr>
        <w:pStyle w:val="Heading1"/>
        <w:spacing w:before="0" w:after="240" w:line="276" w:lineRule="auto"/>
        <w:rPr>
          <w:rFonts w:ascii="Garamond" w:eastAsia="Garamond" w:hAnsi="Garamond" w:cs="Garamond"/>
          <w:b/>
          <w:color w:val="000000"/>
          <w:sz w:val="24"/>
          <w:szCs w:val="24"/>
        </w:rPr>
      </w:pPr>
    </w:p>
    <w:p w14:paraId="31E23831" w14:textId="154F24C9" w:rsidR="00A04D3F" w:rsidRDefault="00000000">
      <w:pPr>
        <w:pStyle w:val="Heading1"/>
        <w:spacing w:before="0" w:after="240" w:line="276" w:lineRule="auto"/>
        <w:rPr>
          <w:rFonts w:ascii="Garamond" w:eastAsia="Garamond" w:hAnsi="Garamond" w:cs="Garamond"/>
          <w:b/>
          <w:color w:val="000000"/>
          <w:sz w:val="24"/>
          <w:szCs w:val="24"/>
        </w:rPr>
      </w:pPr>
      <w:r>
        <w:rPr>
          <w:rFonts w:ascii="Garamond" w:eastAsia="Garamond" w:hAnsi="Garamond" w:cs="Garamond"/>
          <w:b/>
          <w:color w:val="000000"/>
          <w:sz w:val="24"/>
          <w:szCs w:val="24"/>
        </w:rPr>
        <w:t>RESULT AND DISCUSSION</w:t>
      </w:r>
    </w:p>
    <w:p w14:paraId="63393278"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To contextualize the logistics structure of major Indonesian retailers, descriptive statistics reveal notable variation in logistics configurations and performance indicators. The average number of distribution centers (DC_Count_it) among firms was 18.0 (SD = 12.3), while store hubs (StoreHubs_it) averaged 12.0 (SD = 6.5). Online sales accounted for an average of 4.2% of total revenue (SD = 1.8%). The constructed service level metric (ServiceLevel_it), derived from indicators such as inventory turnover and on time delivery, had a mean score of 87.5 (SD = 6.1).</w:t>
      </w:r>
    </w:p>
    <w:p w14:paraId="24520EA5"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These results are consistent with existing literature indicating wide logistics footprint variance across Southeast Asian retailers (Mubarak &amp; Rahman, 2020). Firms with stronger digital platforms, such as those fully integrating omnichannel features, generally report higher shares of online revenue and better performance in KPIs like fill rate and inventory turnover (Mulya et al., 2023). For example, retailers in Indonesia report inventory turnover ratios ranging from 6 to 12, fill rates averaging 85%, and OTD rates between 75% and 95% (Mulya et al., 2023).</w:t>
      </w:r>
    </w:p>
    <w:p w14:paraId="7B089CBD" w14:textId="77777777" w:rsidR="00A04D3F" w:rsidRDefault="00000000" w:rsidP="00ED198D">
      <w:pPr>
        <w:spacing w:line="276" w:lineRule="auto"/>
        <w:jc w:val="center"/>
        <w:rPr>
          <w:rFonts w:ascii="Garamond" w:eastAsia="Garamond" w:hAnsi="Garamond" w:cs="Garamond"/>
          <w:sz w:val="24"/>
          <w:szCs w:val="24"/>
        </w:rPr>
      </w:pPr>
      <w:r>
        <w:rPr>
          <w:rFonts w:ascii="Garamond" w:eastAsia="Garamond" w:hAnsi="Garamond" w:cs="Garamond"/>
          <w:b/>
          <w:sz w:val="24"/>
          <w:szCs w:val="24"/>
        </w:rPr>
        <w:t>Table 1. Summary of Descriptive Statistics</w:t>
      </w:r>
    </w:p>
    <w:tbl>
      <w:tblPr>
        <w:tblStyle w:val="a0"/>
        <w:tblW w:w="4018" w:type="dxa"/>
        <w:jc w:val="center"/>
        <w:tblLayout w:type="fixed"/>
        <w:tblLook w:val="0400" w:firstRow="0" w:lastRow="0" w:firstColumn="0" w:lastColumn="0" w:noHBand="0" w:noVBand="1"/>
      </w:tblPr>
      <w:tblGrid>
        <w:gridCol w:w="1443"/>
        <w:gridCol w:w="610"/>
        <w:gridCol w:w="955"/>
        <w:gridCol w:w="505"/>
        <w:gridCol w:w="505"/>
      </w:tblGrid>
      <w:tr w:rsidR="00A04D3F" w14:paraId="02F855B0" w14:textId="77777777">
        <w:trPr>
          <w:tblHeader/>
          <w:jc w:val="center"/>
        </w:trPr>
        <w:tc>
          <w:tcPr>
            <w:tcW w:w="1443" w:type="dxa"/>
            <w:tcBorders>
              <w:top w:val="single" w:sz="4" w:space="0" w:color="000000"/>
            </w:tcBorders>
            <w:vAlign w:val="center"/>
          </w:tcPr>
          <w:p w14:paraId="147205D5" w14:textId="77777777" w:rsidR="00A04D3F"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Variable</w:t>
            </w:r>
          </w:p>
        </w:tc>
        <w:tc>
          <w:tcPr>
            <w:tcW w:w="610" w:type="dxa"/>
            <w:tcBorders>
              <w:top w:val="single" w:sz="4" w:space="0" w:color="000000"/>
            </w:tcBorders>
            <w:vAlign w:val="center"/>
          </w:tcPr>
          <w:p w14:paraId="755689ED" w14:textId="77777777" w:rsidR="00A04D3F"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Mean</w:t>
            </w:r>
          </w:p>
        </w:tc>
        <w:tc>
          <w:tcPr>
            <w:tcW w:w="955" w:type="dxa"/>
            <w:tcBorders>
              <w:top w:val="single" w:sz="4" w:space="0" w:color="000000"/>
            </w:tcBorders>
            <w:vAlign w:val="center"/>
          </w:tcPr>
          <w:p w14:paraId="13F6493A" w14:textId="77777777" w:rsidR="00A04D3F"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Std. Dev.</w:t>
            </w:r>
          </w:p>
        </w:tc>
        <w:tc>
          <w:tcPr>
            <w:tcW w:w="505" w:type="dxa"/>
            <w:tcBorders>
              <w:top w:val="single" w:sz="4" w:space="0" w:color="000000"/>
            </w:tcBorders>
            <w:vAlign w:val="center"/>
          </w:tcPr>
          <w:p w14:paraId="6A6400EC" w14:textId="77777777" w:rsidR="00A04D3F"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Min</w:t>
            </w:r>
          </w:p>
        </w:tc>
        <w:tc>
          <w:tcPr>
            <w:tcW w:w="505" w:type="dxa"/>
            <w:tcBorders>
              <w:top w:val="single" w:sz="4" w:space="0" w:color="000000"/>
            </w:tcBorders>
            <w:vAlign w:val="center"/>
          </w:tcPr>
          <w:p w14:paraId="1984492F" w14:textId="77777777" w:rsidR="00A04D3F"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Max</w:t>
            </w:r>
          </w:p>
        </w:tc>
      </w:tr>
      <w:tr w:rsidR="00A04D3F" w14:paraId="759312E8" w14:textId="77777777">
        <w:trPr>
          <w:jc w:val="center"/>
        </w:trPr>
        <w:tc>
          <w:tcPr>
            <w:tcW w:w="1443" w:type="dxa"/>
            <w:vAlign w:val="center"/>
          </w:tcPr>
          <w:p w14:paraId="0BFBEA9A"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DC_Count_it</w:t>
            </w:r>
          </w:p>
        </w:tc>
        <w:tc>
          <w:tcPr>
            <w:tcW w:w="610" w:type="dxa"/>
            <w:vAlign w:val="center"/>
          </w:tcPr>
          <w:p w14:paraId="5A63C91F"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18.0</w:t>
            </w:r>
          </w:p>
        </w:tc>
        <w:tc>
          <w:tcPr>
            <w:tcW w:w="955" w:type="dxa"/>
            <w:vAlign w:val="center"/>
          </w:tcPr>
          <w:p w14:paraId="41279D6B"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12.3</w:t>
            </w:r>
          </w:p>
        </w:tc>
        <w:tc>
          <w:tcPr>
            <w:tcW w:w="505" w:type="dxa"/>
            <w:vAlign w:val="center"/>
          </w:tcPr>
          <w:p w14:paraId="27CEE365"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2</w:t>
            </w:r>
          </w:p>
        </w:tc>
        <w:tc>
          <w:tcPr>
            <w:tcW w:w="505" w:type="dxa"/>
            <w:vAlign w:val="center"/>
          </w:tcPr>
          <w:p w14:paraId="46F66525"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46</w:t>
            </w:r>
          </w:p>
        </w:tc>
      </w:tr>
      <w:tr w:rsidR="00A04D3F" w14:paraId="00ADC5B3" w14:textId="77777777">
        <w:trPr>
          <w:jc w:val="center"/>
        </w:trPr>
        <w:tc>
          <w:tcPr>
            <w:tcW w:w="1443" w:type="dxa"/>
            <w:vAlign w:val="center"/>
          </w:tcPr>
          <w:p w14:paraId="26493FA6"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StoreHubs_it</w:t>
            </w:r>
          </w:p>
        </w:tc>
        <w:tc>
          <w:tcPr>
            <w:tcW w:w="610" w:type="dxa"/>
            <w:vAlign w:val="center"/>
          </w:tcPr>
          <w:p w14:paraId="631B9666"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12.0</w:t>
            </w:r>
          </w:p>
        </w:tc>
        <w:tc>
          <w:tcPr>
            <w:tcW w:w="955" w:type="dxa"/>
            <w:vAlign w:val="center"/>
          </w:tcPr>
          <w:p w14:paraId="3465B1C1"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6.5</w:t>
            </w:r>
          </w:p>
        </w:tc>
        <w:tc>
          <w:tcPr>
            <w:tcW w:w="505" w:type="dxa"/>
            <w:vAlign w:val="center"/>
          </w:tcPr>
          <w:p w14:paraId="3C6105C4"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w:t>
            </w:r>
          </w:p>
        </w:tc>
        <w:tc>
          <w:tcPr>
            <w:tcW w:w="505" w:type="dxa"/>
            <w:vAlign w:val="center"/>
          </w:tcPr>
          <w:p w14:paraId="71270312"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18</w:t>
            </w:r>
          </w:p>
        </w:tc>
      </w:tr>
      <w:tr w:rsidR="00A04D3F" w14:paraId="34B3ED7E" w14:textId="77777777">
        <w:trPr>
          <w:jc w:val="center"/>
        </w:trPr>
        <w:tc>
          <w:tcPr>
            <w:tcW w:w="1443" w:type="dxa"/>
            <w:vAlign w:val="center"/>
          </w:tcPr>
          <w:p w14:paraId="258616C1"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OnlineShare_it</w:t>
            </w:r>
          </w:p>
        </w:tc>
        <w:tc>
          <w:tcPr>
            <w:tcW w:w="610" w:type="dxa"/>
            <w:vAlign w:val="center"/>
          </w:tcPr>
          <w:p w14:paraId="2423C2D5"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4.2%</w:t>
            </w:r>
          </w:p>
        </w:tc>
        <w:tc>
          <w:tcPr>
            <w:tcW w:w="955" w:type="dxa"/>
            <w:vAlign w:val="center"/>
          </w:tcPr>
          <w:p w14:paraId="0AF626C2"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1.8%</w:t>
            </w:r>
          </w:p>
        </w:tc>
        <w:tc>
          <w:tcPr>
            <w:tcW w:w="505" w:type="dxa"/>
            <w:vAlign w:val="center"/>
          </w:tcPr>
          <w:p w14:paraId="2039933E"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1.5%</w:t>
            </w:r>
          </w:p>
        </w:tc>
        <w:tc>
          <w:tcPr>
            <w:tcW w:w="505" w:type="dxa"/>
            <w:vAlign w:val="center"/>
          </w:tcPr>
          <w:p w14:paraId="5BD27A8A"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6.1%</w:t>
            </w:r>
          </w:p>
        </w:tc>
      </w:tr>
      <w:tr w:rsidR="00A04D3F" w14:paraId="3A91588C" w14:textId="77777777">
        <w:trPr>
          <w:jc w:val="center"/>
        </w:trPr>
        <w:tc>
          <w:tcPr>
            <w:tcW w:w="1443" w:type="dxa"/>
            <w:tcBorders>
              <w:bottom w:val="single" w:sz="4" w:space="0" w:color="000000"/>
            </w:tcBorders>
            <w:vAlign w:val="center"/>
          </w:tcPr>
          <w:p w14:paraId="75AAC566"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ServiceLevel_it</w:t>
            </w:r>
          </w:p>
        </w:tc>
        <w:tc>
          <w:tcPr>
            <w:tcW w:w="610" w:type="dxa"/>
            <w:tcBorders>
              <w:bottom w:val="single" w:sz="4" w:space="0" w:color="000000"/>
            </w:tcBorders>
            <w:vAlign w:val="center"/>
          </w:tcPr>
          <w:p w14:paraId="3363D6F6"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87.5</w:t>
            </w:r>
          </w:p>
        </w:tc>
        <w:tc>
          <w:tcPr>
            <w:tcW w:w="955" w:type="dxa"/>
            <w:tcBorders>
              <w:bottom w:val="single" w:sz="4" w:space="0" w:color="000000"/>
            </w:tcBorders>
            <w:vAlign w:val="center"/>
          </w:tcPr>
          <w:p w14:paraId="183A6D6B"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6.1</w:t>
            </w:r>
          </w:p>
        </w:tc>
        <w:tc>
          <w:tcPr>
            <w:tcW w:w="505" w:type="dxa"/>
            <w:tcBorders>
              <w:bottom w:val="single" w:sz="4" w:space="0" w:color="000000"/>
            </w:tcBorders>
            <w:vAlign w:val="center"/>
          </w:tcPr>
          <w:p w14:paraId="14845161"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72.0</w:t>
            </w:r>
          </w:p>
        </w:tc>
        <w:tc>
          <w:tcPr>
            <w:tcW w:w="505" w:type="dxa"/>
            <w:tcBorders>
              <w:bottom w:val="single" w:sz="4" w:space="0" w:color="000000"/>
            </w:tcBorders>
            <w:vAlign w:val="center"/>
          </w:tcPr>
          <w:p w14:paraId="3332AFDC"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95.0</w:t>
            </w:r>
          </w:p>
        </w:tc>
      </w:tr>
    </w:tbl>
    <w:p w14:paraId="08C8281E" w14:textId="77777777" w:rsidR="00ED198D" w:rsidRDefault="00ED198D">
      <w:pPr>
        <w:spacing w:line="276" w:lineRule="auto"/>
        <w:jc w:val="both"/>
        <w:rPr>
          <w:rFonts w:ascii="Garamond" w:eastAsia="Garamond" w:hAnsi="Garamond" w:cs="Garamond"/>
          <w:b/>
          <w:sz w:val="24"/>
          <w:szCs w:val="24"/>
        </w:rPr>
      </w:pPr>
    </w:p>
    <w:p w14:paraId="6F0834CC" w14:textId="09C5EAAA"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The fixed effects regression results underscore the impact of logistics infrastructure and omnichannel strategies on service performance:</w:t>
      </w:r>
    </w:p>
    <w:tbl>
      <w:tblPr>
        <w:tblStyle w:val="a1"/>
        <w:tblW w:w="4487" w:type="dxa"/>
        <w:jc w:val="center"/>
        <w:tblLayout w:type="fixed"/>
        <w:tblLook w:val="0400" w:firstRow="0" w:lastRow="0" w:firstColumn="0" w:lastColumn="0" w:noHBand="0" w:noVBand="1"/>
      </w:tblPr>
      <w:tblGrid>
        <w:gridCol w:w="2318"/>
        <w:gridCol w:w="1143"/>
        <w:gridCol w:w="1026"/>
      </w:tblGrid>
      <w:tr w:rsidR="00A04D3F" w14:paraId="59DC008F" w14:textId="77777777">
        <w:trPr>
          <w:tblHeader/>
          <w:jc w:val="center"/>
        </w:trPr>
        <w:tc>
          <w:tcPr>
            <w:tcW w:w="2318" w:type="dxa"/>
            <w:tcBorders>
              <w:top w:val="single" w:sz="4" w:space="0" w:color="000000"/>
            </w:tcBorders>
            <w:vAlign w:val="center"/>
          </w:tcPr>
          <w:p w14:paraId="28DE7A82" w14:textId="77777777" w:rsidR="00A04D3F"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Variable</w:t>
            </w:r>
          </w:p>
        </w:tc>
        <w:tc>
          <w:tcPr>
            <w:tcW w:w="1143" w:type="dxa"/>
            <w:tcBorders>
              <w:top w:val="single" w:sz="4" w:space="0" w:color="000000"/>
            </w:tcBorders>
            <w:vAlign w:val="center"/>
          </w:tcPr>
          <w:p w14:paraId="7A0EA590" w14:textId="77777777" w:rsidR="00A04D3F"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Coefficient</w:t>
            </w:r>
          </w:p>
        </w:tc>
        <w:tc>
          <w:tcPr>
            <w:tcW w:w="1026" w:type="dxa"/>
            <w:tcBorders>
              <w:top w:val="single" w:sz="4" w:space="0" w:color="000000"/>
            </w:tcBorders>
            <w:vAlign w:val="center"/>
          </w:tcPr>
          <w:p w14:paraId="1EF28B70" w14:textId="77777777" w:rsidR="00A04D3F"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Std. Error</w:t>
            </w:r>
          </w:p>
        </w:tc>
      </w:tr>
      <w:tr w:rsidR="00A04D3F" w14:paraId="4676D48E" w14:textId="77777777">
        <w:trPr>
          <w:jc w:val="center"/>
        </w:trPr>
        <w:tc>
          <w:tcPr>
            <w:tcW w:w="2318" w:type="dxa"/>
            <w:vAlign w:val="center"/>
          </w:tcPr>
          <w:p w14:paraId="680E429E"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OmnichannelDummy_it</w:t>
            </w:r>
          </w:p>
        </w:tc>
        <w:tc>
          <w:tcPr>
            <w:tcW w:w="1143" w:type="dxa"/>
            <w:vAlign w:val="center"/>
          </w:tcPr>
          <w:p w14:paraId="061E8AFB"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+4.6</w:t>
            </w:r>
          </w:p>
        </w:tc>
        <w:tc>
          <w:tcPr>
            <w:tcW w:w="1026" w:type="dxa"/>
            <w:vAlign w:val="center"/>
          </w:tcPr>
          <w:p w14:paraId="5CC68205"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1.2</w:t>
            </w:r>
          </w:p>
        </w:tc>
      </w:tr>
      <w:tr w:rsidR="00A04D3F" w14:paraId="4F09CB48" w14:textId="77777777">
        <w:trPr>
          <w:jc w:val="center"/>
        </w:trPr>
        <w:tc>
          <w:tcPr>
            <w:tcW w:w="2318" w:type="dxa"/>
            <w:vAlign w:val="center"/>
          </w:tcPr>
          <w:p w14:paraId="57C52426"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DC_Count_it</w:t>
            </w:r>
          </w:p>
        </w:tc>
        <w:tc>
          <w:tcPr>
            <w:tcW w:w="1143" w:type="dxa"/>
            <w:vAlign w:val="center"/>
          </w:tcPr>
          <w:p w14:paraId="4108BA78"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+0.18</w:t>
            </w:r>
          </w:p>
        </w:tc>
        <w:tc>
          <w:tcPr>
            <w:tcW w:w="1026" w:type="dxa"/>
            <w:vAlign w:val="center"/>
          </w:tcPr>
          <w:p w14:paraId="06E66052"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0.07</w:t>
            </w:r>
          </w:p>
        </w:tc>
      </w:tr>
      <w:tr w:rsidR="00A04D3F" w14:paraId="131E66A8" w14:textId="77777777">
        <w:trPr>
          <w:jc w:val="center"/>
        </w:trPr>
        <w:tc>
          <w:tcPr>
            <w:tcW w:w="2318" w:type="dxa"/>
            <w:vAlign w:val="center"/>
          </w:tcPr>
          <w:p w14:paraId="45C86A6A"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StoreHubs_it</w:t>
            </w:r>
          </w:p>
        </w:tc>
        <w:tc>
          <w:tcPr>
            <w:tcW w:w="1143" w:type="dxa"/>
            <w:vAlign w:val="center"/>
          </w:tcPr>
          <w:p w14:paraId="34A73582"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+0.21</w:t>
            </w:r>
          </w:p>
        </w:tc>
        <w:tc>
          <w:tcPr>
            <w:tcW w:w="1026" w:type="dxa"/>
            <w:vAlign w:val="center"/>
          </w:tcPr>
          <w:p w14:paraId="0DBC7D45"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0.09</w:t>
            </w:r>
          </w:p>
        </w:tc>
      </w:tr>
      <w:tr w:rsidR="00A04D3F" w14:paraId="477CDCB6" w14:textId="77777777">
        <w:trPr>
          <w:jc w:val="center"/>
        </w:trPr>
        <w:tc>
          <w:tcPr>
            <w:tcW w:w="2318" w:type="dxa"/>
            <w:tcBorders>
              <w:bottom w:val="single" w:sz="4" w:space="0" w:color="000000"/>
            </w:tcBorders>
            <w:vAlign w:val="center"/>
          </w:tcPr>
          <w:p w14:paraId="1055036A"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OnlineShare_it</w:t>
            </w:r>
          </w:p>
        </w:tc>
        <w:tc>
          <w:tcPr>
            <w:tcW w:w="1143" w:type="dxa"/>
            <w:tcBorders>
              <w:bottom w:val="single" w:sz="4" w:space="0" w:color="000000"/>
            </w:tcBorders>
            <w:vAlign w:val="center"/>
          </w:tcPr>
          <w:p w14:paraId="2870BED1"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+1.5</w:t>
            </w:r>
          </w:p>
        </w:tc>
        <w:tc>
          <w:tcPr>
            <w:tcW w:w="1026" w:type="dxa"/>
            <w:tcBorders>
              <w:bottom w:val="single" w:sz="4" w:space="0" w:color="000000"/>
            </w:tcBorders>
            <w:vAlign w:val="center"/>
          </w:tcPr>
          <w:p w14:paraId="08553271"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0.8</w:t>
            </w:r>
          </w:p>
        </w:tc>
      </w:tr>
    </w:tbl>
    <w:p w14:paraId="1C2C0CC8"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These results validate prior findings suggesting that investments in distribution networks and digital channel integration significantly elevate service level metrics (Nailah &amp; Rusydiana, 2020; Ryba, 2024). The positive coefficients for store hubs and DCs affirm their role as strong predictors of service efficiency. Retailers utilizing store hubs demonstrate enhanced order flexibility and reduced lead times.</w:t>
      </w:r>
    </w:p>
    <w:p w14:paraId="6B0F5E08" w14:textId="0383A360"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Fixed effects models, known for managing unobserved heterogeneity, reinforce the robustness of these findings by capturing intra firm variations across time (Nadeem et al., 2017).</w:t>
      </w:r>
    </w:p>
    <w:p w14:paraId="4797519E"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Event study analysis focusing on MAP’s 2024 launch of the Pay &amp; Pick system reveals a substantial uplift in service performance. ServiceLevel_it increased by approximately 5% within two quarters post intervention. Such increases align with past research showing that omnichannel features yield immediate operational benefits, including improved customer satisfaction and fulfillment accuracy (Mubarak &amp; Rahman, 2020).</w:t>
      </w:r>
    </w:p>
    <w:p w14:paraId="1322E5DB"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Typical time windows in this analysis span one quarter pre intervention and two quarters post intervention. The results demonstrate a clear positive deviation from baseline performance benchmarks. Using both historical data and industry averages for comparison (Mulya et al., 2023), the service improvements observed are attributable to the integration of omnichannel logistics capabilities.</w:t>
      </w:r>
    </w:p>
    <w:p w14:paraId="3CD8B2AA"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In sum, these findings confirm the hypothesized relationship between logistics integration and retail service performance. Omnichannel features and logistics scale (via DCs and store hubs) play critical roles in shaping service outcomes across Indonesian retailers operating in an increasingly digital retail landscape.</w:t>
      </w:r>
    </w:p>
    <w:p w14:paraId="7DA707CC" w14:textId="77777777" w:rsidR="00ED198D" w:rsidRDefault="00ED198D">
      <w:pPr>
        <w:spacing w:line="276" w:lineRule="auto"/>
        <w:jc w:val="both"/>
        <w:rPr>
          <w:rFonts w:ascii="Garamond" w:eastAsia="Garamond" w:hAnsi="Garamond" w:cs="Garamond"/>
          <w:b/>
          <w:sz w:val="24"/>
          <w:szCs w:val="24"/>
        </w:rPr>
      </w:pPr>
    </w:p>
    <w:p w14:paraId="604AEEC2" w14:textId="06942DA0" w:rsidR="00A04D3F"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Logistics Integration and Supply Chain Responsiveness</w:t>
      </w:r>
    </w:p>
    <w:p w14:paraId="35B681DD"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Logistics integration has emerged as a foundational element in enhancing supply chain responsiveness, particularly in the dynamic and fast evolving context of omnichannel retail. As consumer behavior becomes more fragmented across digital and physical platforms, the ability of retailers to coordinate inventory management, warehousing, and distribution has become critical. Through seamless integration, retailers are empowered to adapt quickly to shifts in consumer preferences, inventory shortages, and seasonal demand patterns. This interconnectedness allows firms to streamline product flows, reduce redundancies, and maintain optimal stock levels in both central and satellite warehouses (Solem et al., 2022). Real time data analytics technologies act as an enabling layer by forecasting demand trends, triggering proactive restocking, and automating order allocation across channels. This capability not only improves order accuracy and customer satisfaction but also minimizes logistics costs. Consequently, logistics integration transforms reactive supply chains into predictive and adaptive systems that are resilient in the face of disruption and competition (Liu &amp; Song, 2023).</w:t>
      </w:r>
    </w:p>
    <w:p w14:paraId="25516F98" w14:textId="77777777" w:rsidR="00ED198D" w:rsidRDefault="00ED198D">
      <w:pPr>
        <w:spacing w:line="276" w:lineRule="auto"/>
        <w:jc w:val="both"/>
        <w:rPr>
          <w:rFonts w:ascii="Garamond" w:eastAsia="Garamond" w:hAnsi="Garamond" w:cs="Garamond"/>
          <w:b/>
          <w:sz w:val="24"/>
          <w:szCs w:val="24"/>
        </w:rPr>
      </w:pPr>
    </w:p>
    <w:p w14:paraId="35A0B8A7" w14:textId="21250C31" w:rsidR="00A04D3F"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Strategic Benefits of Service Level Improvement</w:t>
      </w:r>
    </w:p>
    <w:p w14:paraId="71D8AF70"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In Indonesia’s competitive retail landscape, improving service level through omnichannel logistics offers tangible advantages. Operationally, firms such as MAP and AMRT demonstrated reduced lead times and increased order fulfillment accuracy following the rollout of Pay &amp; Pick and store hub systems. Financial gains included lower cost per order, driven by optimized resource allocation and improved inventory management. On the customer side, these improvements translated to higher satisfaction, repeat transactions, and stronger brand loyalty particularly in urban areas where digital penetration is high. The findings affirm that service-level excellence is a key differentiator for Indonesian retailers navigating digital competition (Alikhani et al., 2021; Natarajan et al., 2023).</w:t>
      </w:r>
    </w:p>
    <w:p w14:paraId="0B0F7E7F" w14:textId="77777777" w:rsidR="00ED198D" w:rsidRDefault="00ED198D">
      <w:pPr>
        <w:spacing w:line="276" w:lineRule="auto"/>
        <w:jc w:val="both"/>
        <w:rPr>
          <w:rFonts w:ascii="Garamond" w:eastAsia="Garamond" w:hAnsi="Garamond" w:cs="Garamond"/>
          <w:b/>
          <w:sz w:val="24"/>
          <w:szCs w:val="24"/>
        </w:rPr>
      </w:pPr>
    </w:p>
    <w:p w14:paraId="20CF548D" w14:textId="7D7EF87B" w:rsidR="00A04D3F"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Alignment with Global Best Practices</w:t>
      </w:r>
    </w:p>
    <w:p w14:paraId="4CEB5840"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In the Indonesian context, the evolution of omnichannel logistics demonstrates increasing alignment with international standards in digital retail operations. Leading firms such as AMRT, MAPI, and LPPF have implemented globally recognized best practices such as decentralized fulfillment through store hubs, hybrid online offline delivery mechanisms, and smart inventory tracking tools. These practices emulate strategies observed in North America, Europe, and East Asia, where omnichannel maturity has reached higher levels. The use of technologies like RFID based inventory management, AI assisted demand forecasting, and integrated customer databases reflects Indonesia’s broader leapfrogging into digital first logistics models. In addition, the localization of these global practices tailoring logistics models to urban rural divides, infrastructure constraints, and consumer purchasing patterns demonstrates the strategic agility of Indonesian retailers. This transition also signals growing investor confidence in the region’s retail tech space, attracting funding for tech enabled logistics startups and integrated retail platforms (Ishfaq &amp; Raja, 2017; Sousa et al., 2021).</w:t>
      </w:r>
    </w:p>
    <w:p w14:paraId="7CD8895C" w14:textId="77777777" w:rsidR="00ED198D" w:rsidRDefault="00ED198D">
      <w:pPr>
        <w:spacing w:line="276" w:lineRule="auto"/>
        <w:jc w:val="both"/>
        <w:rPr>
          <w:rFonts w:ascii="Garamond" w:eastAsia="Garamond" w:hAnsi="Garamond" w:cs="Garamond"/>
          <w:b/>
          <w:sz w:val="24"/>
          <w:szCs w:val="24"/>
        </w:rPr>
      </w:pPr>
    </w:p>
    <w:p w14:paraId="7BA55D79" w14:textId="4F2C9838" w:rsidR="00A04D3F"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Limitations in Emerging Market Research</w:t>
      </w:r>
    </w:p>
    <w:p w14:paraId="11FFDD13"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Despite the progress, several limitations continue to affect logistics service level research in emerging economies. First, the scarcity and inconsistency of firm level logistics data constrain empirical robustness. Unlike firms in developed markets, many Southeast Asian retailers do not routinely disclose standardized logistics KPIs, creating gaps in data comparability. Second, the regional heterogeneity within emerging markets complicates the formulation of generalized logistics strategies. What works for a Jakarta based omnichannel network may not be applicable in less connected areas like Sulawesi or Kalimantan. Additionally, existing academic models often simplify logistics integration into singular dimensions, overlooking the multilayered nature of retail ecosystems in developing countries. The evolving role of informal logistics providers, local last mile innovations, and hybrid distribution frameworks is not sufficiently captured in most studies. Infrastructure related limitations such as fragmented road networks, inconsistent digital connectivity, and bureaucratic bottlenecks also present critical barriers to achieving uniform service excellence across geographies (Eicker &amp; Cilliers, 2017; Saghiri et al., 2017).</w:t>
      </w:r>
    </w:p>
    <w:p w14:paraId="4BCF362B" w14:textId="77777777" w:rsidR="00ED198D" w:rsidRDefault="00ED198D">
      <w:pPr>
        <w:spacing w:line="276" w:lineRule="auto"/>
        <w:jc w:val="both"/>
        <w:rPr>
          <w:rFonts w:ascii="Garamond" w:eastAsia="Garamond" w:hAnsi="Garamond" w:cs="Garamond"/>
          <w:b/>
          <w:sz w:val="24"/>
          <w:szCs w:val="24"/>
        </w:rPr>
      </w:pPr>
    </w:p>
    <w:p w14:paraId="1FD0EDF5" w14:textId="0984EEF0" w:rsidR="00A04D3F"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Implications and Future Research</w:t>
      </w:r>
    </w:p>
    <w:p w14:paraId="2D45917E"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The positive findings from Indonesia’s retail logistics integration provide a strong empirical case for further exploration. Service level improvements following the implementation of store hubs and Pay &amp; Pick systems suggest that even incremental logistics innovations can lead to sizable performance gains. For practitioners, this affirms the value of prioritizing logistics transformation as a key pillar of retail strategy. Investments in integrated systems, workforce upskilling, and customer feedback loops can significantly enhance service quality while ensuring cost control. Policymakers should also recognize the importance of logistics modernization in supporting inclusive retail growth, particularly by incentivizing infrastructure development in underserved regions.</w:t>
      </w:r>
    </w:p>
    <w:p w14:paraId="60EB5F2B" w14:textId="77777777" w:rsidR="00A04D3F"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Future research should aim to close the current gaps in empirical coverage by building granular datasets that account for firm size, geographic spread, and channel specific logistics performance. Longitudinal studies that track the full lifecycle of logistics investments from planning and rollout to post implementation performance will also be valuable. Additionally, comparative studies across countries or regions within Southeast Asia could offer insights into which logistical strategies are universally effective versus context specific. A deeper understanding of the interplay between logistics and consumer behavior in emerging markets would help refine both academic models and business practices, enhancing the reliability and applicability of service level frameworks moving forward.</w:t>
      </w:r>
    </w:p>
    <w:p w14:paraId="40AEF101" w14:textId="77777777" w:rsidR="00A04D3F" w:rsidRDefault="00A04D3F"/>
    <w:p w14:paraId="12607AEC" w14:textId="77777777" w:rsidR="00A04D3F" w:rsidRDefault="00000000">
      <w:pPr>
        <w:pStyle w:val="Heading1"/>
        <w:spacing w:before="0" w:line="276"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CONCLUSION </w:t>
      </w:r>
    </w:p>
    <w:p w14:paraId="1A58751F"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This study examined the relationship between omnichannel logistics integration and service level performance among leading Indonesian retail chains from 2020 to 2024. Using firm level panel data and event study analysis, it assessed how specific logistics innovations such as distribution center (DC) expansion, store hubs, and click and collect features impact key service metrics including inventory turnover, on time delivery, and fill rate. The empirical findings confirm that retailers who invested in digital logistics alignment consistently achieved measurable improvements in operational responsiveness and customer satisfaction.</w:t>
      </w:r>
    </w:p>
    <w:p w14:paraId="4E91E161"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A key insight from the analysis is that omnichannel logistics capabilities are not just supplementary enhancements but foundational drivers of retail competitiveness. Firms that implemented systems like Pay &amp; Pick or expanded their last mile delivery networks through store hubs were able to improve service level metrics by approximately 4–6 percentage points within two quarters of rollout. These improvements were statistically significant, validating the hypothesis that omnichannel integration meaningfully contributes to service excellence.</w:t>
      </w:r>
    </w:p>
    <w:p w14:paraId="4D802C24"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This research contributes to the literature by operationalizing service level performance within a logistics framework in an emerging market context. It demonstrates how retailers in developing economies can adapt global best practices to local infrastructure conditions, using agile, </w:t>
      </w:r>
      <w:proofErr w:type="gramStart"/>
      <w:r>
        <w:rPr>
          <w:rFonts w:ascii="Garamond" w:eastAsia="Garamond" w:hAnsi="Garamond" w:cs="Garamond"/>
          <w:color w:val="000000"/>
          <w:sz w:val="24"/>
          <w:szCs w:val="24"/>
        </w:rPr>
        <w:t>cost effective</w:t>
      </w:r>
      <w:proofErr w:type="gramEnd"/>
      <w:r>
        <w:rPr>
          <w:rFonts w:ascii="Garamond" w:eastAsia="Garamond" w:hAnsi="Garamond" w:cs="Garamond"/>
          <w:color w:val="000000"/>
          <w:sz w:val="24"/>
          <w:szCs w:val="24"/>
        </w:rPr>
        <w:t xml:space="preserve"> strategies to overcome legacy constraints. The study also emphasizes the importance of firm specific heterogeneity and longitudinal design in capturing the effects of operational transformation.</w:t>
      </w:r>
    </w:p>
    <w:p w14:paraId="492A3C1E"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From a managerial perspective, the findings underscore the strategic importance of aligning digital capabilities with physical logistics infrastructure. Investments in logistics not only optimize fulfillment processes but also unlock opportunities for differentiated customer experiences. Retailers that prioritize service level KPIs as part of their core strategy are better positioned to retain customers and scale sustainably in an increasingly competitive retail environment.</w:t>
      </w:r>
    </w:p>
    <w:p w14:paraId="745118F9"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Looking ahead, future research should explore the consumer facing side of logistics transformation how service level improvements translate to customer behavior, satisfaction, and </w:t>
      </w:r>
      <w:proofErr w:type="gramStart"/>
      <w:r>
        <w:rPr>
          <w:rFonts w:ascii="Garamond" w:eastAsia="Garamond" w:hAnsi="Garamond" w:cs="Garamond"/>
          <w:color w:val="000000"/>
          <w:sz w:val="24"/>
          <w:szCs w:val="24"/>
        </w:rPr>
        <w:t>long term</w:t>
      </w:r>
      <w:proofErr w:type="gramEnd"/>
      <w:r>
        <w:rPr>
          <w:rFonts w:ascii="Garamond" w:eastAsia="Garamond" w:hAnsi="Garamond" w:cs="Garamond"/>
          <w:color w:val="000000"/>
          <w:sz w:val="24"/>
          <w:szCs w:val="24"/>
        </w:rPr>
        <w:t xml:space="preserve"> loyalty. Additionally, extending the study to cross border logistics and integrating more granular geographic variables could further enrich the understanding of omnichannel effectiveness in diverse market conditions. In summary, this study affirms that logistics integration is a central axis of retail digital transformation and a critical lever for enhancing service quality in emerging economies.</w:t>
      </w:r>
    </w:p>
    <w:p w14:paraId="6637ECA2" w14:textId="77777777" w:rsidR="00A04D3F" w:rsidRDefault="00000000">
      <w:pPr>
        <w:pBdr>
          <w:top w:val="nil"/>
          <w:left w:val="nil"/>
          <w:bottom w:val="nil"/>
          <w:right w:val="nil"/>
          <w:between w:val="nil"/>
        </w:pBdr>
        <w:spacing w:before="280" w:after="28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REFERENCE</w:t>
      </w:r>
    </w:p>
    <w:p w14:paraId="0A7DFD83"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Alikhani, R., Torabi, S. A., &amp; Altay, N. (2021). Retail Supply Chain Network Design </w:t>
      </w:r>
      <w:proofErr w:type="gramStart"/>
      <w:r>
        <w:rPr>
          <w:rFonts w:ascii="Garamond" w:eastAsia="Garamond" w:hAnsi="Garamond" w:cs="Garamond"/>
          <w:color w:val="000000"/>
          <w:sz w:val="24"/>
          <w:szCs w:val="24"/>
        </w:rPr>
        <w:t>With</w:t>
      </w:r>
      <w:proofErr w:type="gramEnd"/>
      <w:r>
        <w:rPr>
          <w:rFonts w:ascii="Garamond" w:eastAsia="Garamond" w:hAnsi="Garamond" w:cs="Garamond"/>
          <w:color w:val="000000"/>
          <w:sz w:val="24"/>
          <w:szCs w:val="24"/>
        </w:rPr>
        <w:t xml:space="preserve"> Concurrent Resilience Capabilities. International Journal of Production Economics, 234, 108042. https://doi.org/10.1016/j.ijpe.2021.108042</w:t>
      </w:r>
    </w:p>
    <w:p w14:paraId="1E734B55"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Athari, S. A., &amp; Bahreini, M. (2022). Does Economic Policy Uncertainty Impact Firms’ Capital Structure Policy? Evidence From Western European Economies. Environmental Science and Pollution Research, 30(13), 37157–37173. https://doi.org/10.1007/s11356-022-24846-0</w:t>
      </w:r>
    </w:p>
    <w:p w14:paraId="481DACF5"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Ayensa, E. J., Ana Mosquera de la Fuente, &amp; Murillo, Y. S. (2016). Omnichannel Customer Behavior: Key Drivers of Technology Acceptance and Use and Their Effects on Purchase Intention. Frontiers in Psychology, 7. https://doi.org/10.3389/fpsyg.2016.01117</w:t>
      </w:r>
    </w:p>
    <w:p w14:paraId="35810BDF"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Buldeo, H., Verlinde, S., Macharis, C., Schoutteet, P., &amp; Vanhaverbeke, L. (2019). Logistics Outsourcing in Omnichannel Retail. International Journal of Physical Distribution &amp; Logistics Management, 49(3), 267–286. https://doi.org/10.1108/ijpdlm-02-2018-0092</w:t>
      </w:r>
    </w:p>
    <w:p w14:paraId="32B12DD3"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Eicker, T., &amp; Cilliers, J. O. (2017). Equipping Small Business Retailers to Manage Logistical Supply Chain Drivers: A Theoretical Guideline. Journal of Transport and Supply Chain Management, 11. https://doi.org/10.4102/jtscm.v11i0.332</w:t>
      </w:r>
    </w:p>
    <w:p w14:paraId="5237B9E3"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Faber, N., Koster, R. d., &amp; Smidts, A. (2017). Survival of the Fittest: The Impact of Fit Between Warehouse Management Structure and Warehouse Context on Warehouse Performance. International Journal of Production Research, 56(1–2), 120–139. https://doi.org/10.1080/00207543.2017.1395489</w:t>
      </w:r>
    </w:p>
    <w:p w14:paraId="3EE3292F"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Haron, R., Nomran, N. M., Othman, A. H. A., Husin, M. M., &amp; Sharofiddin, A. (2021). The Influence of Firm, Industry and Concentrated Ownership on Dynamic Capital Structure Decision in Emerging Market. Journal of Asia Business Studies, 15(5), 689–709. https://doi.org/10.1108/jabs-04-2019-0109</w:t>
      </w:r>
    </w:p>
    <w:p w14:paraId="2BAFC33F"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Iglesías-Pradas, S., &amp; Acquila-Natale, E. (2023). The Future of E-Commerce: Overview and Prospects of Multichannel and Omnichannel Retail. Journal of Theoretical and Applied Electronic Commerce Research, 18(1), 656–667. https://doi.org/10.3390/jtaer18010033</w:t>
      </w:r>
    </w:p>
    <w:p w14:paraId="10E21331"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Ishfaq, R., Darby, J. L., &amp; Gibson, B. (2023). Adapting the Retail Business Model to Omnichannel Strategy: A Supply Chain Management Perspective. Journal of Business Logistics, 45(1). https://doi.org/10.1111/jbl.12352</w:t>
      </w:r>
    </w:p>
    <w:p w14:paraId="4C070755"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Ishfaq, R., &amp; Raja, U. (2017). Evaluation of Order Fulfillment Options in Retail Supply Chains. Decision Sciences, 49(3), 487–521. https://doi.org/10.1111/deci.12277</w:t>
      </w:r>
    </w:p>
    <w:p w14:paraId="44B11B20"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Jaisinghani, D., Kaur, H., Goyal, J., &amp; Joshi, M. (2019). Marketing Intensity and Persistence of Firm Performance: Empirical Evidence </w:t>
      </w:r>
      <w:proofErr w:type="gramStart"/>
      <w:r>
        <w:rPr>
          <w:rFonts w:ascii="Garamond" w:eastAsia="Garamond" w:hAnsi="Garamond" w:cs="Garamond"/>
          <w:color w:val="000000"/>
          <w:sz w:val="24"/>
          <w:szCs w:val="24"/>
        </w:rPr>
        <w:t>From</w:t>
      </w:r>
      <w:proofErr w:type="gramEnd"/>
      <w:r>
        <w:rPr>
          <w:rFonts w:ascii="Garamond" w:eastAsia="Garamond" w:hAnsi="Garamond" w:cs="Garamond"/>
          <w:color w:val="000000"/>
          <w:sz w:val="24"/>
          <w:szCs w:val="24"/>
        </w:rPr>
        <w:t xml:space="preserve"> Indonesia. International Journal of Productivity and Performance Management, 69(6), 1109–1127. https://doi.org/10.1108/ijppm-02-2019-0072</w:t>
      </w:r>
    </w:p>
    <w:p w14:paraId="596A6CE5"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Lehrer, C., &amp; Trenz, M. (2022). Omnichannel Business. Electronic Markets, 32(2), 687–699. https://doi.org/10.1007/s12525-021-00511-1</w:t>
      </w:r>
    </w:p>
    <w:p w14:paraId="62E077F6"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Liu, Y., &amp; Song, G. (2023). Role of Logistics Integration Capability in Enhancing Performance in Omni-Channel Retailing: Supply Chain Integration as Mediator. Sustainability, 15(11), 9053. https://doi.org/10.3390/su15119053</w:t>
      </w:r>
    </w:p>
    <w:p w14:paraId="58671259"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Mahakitsiri, D., &amp; Suwanprasert, W. (2022). Who Are Pure Exporters? World Economy, 46(6), 1759–1781. https://doi.org/10.1111/twec.13351</w:t>
      </w:r>
    </w:p>
    <w:p w14:paraId="0537D573"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Mishra, R., Singh, R. K., &amp; Köles, B. (2020). Consumer Decision</w:t>
      </w:r>
      <w:r>
        <w:rPr>
          <w:rFonts w:ascii="Cambria Math" w:eastAsia="Cambria Math" w:hAnsi="Cambria Math" w:cs="Cambria Math"/>
          <w:color w:val="000000"/>
          <w:sz w:val="24"/>
          <w:szCs w:val="24"/>
        </w:rPr>
        <w:t>‐</w:t>
      </w:r>
      <w:r>
        <w:rPr>
          <w:rFonts w:ascii="Garamond" w:eastAsia="Garamond" w:hAnsi="Garamond" w:cs="Garamond"/>
          <w:color w:val="000000"/>
          <w:sz w:val="24"/>
          <w:szCs w:val="24"/>
        </w:rPr>
        <w:t>making in Omnichannel Retailing: Literature Review and Future Research Agenda. International Journal of Consumer Studies, 45(2), 147–174. https://doi.org/10.1111/ijcs.12617</w:t>
      </w:r>
    </w:p>
    <w:p w14:paraId="4A044C95"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Mubarak, A., &amp; Rahman, I. (2020). A Comparative Analysis of Carbon Emissions </w:t>
      </w:r>
      <w:proofErr w:type="gramStart"/>
      <w:r>
        <w:rPr>
          <w:rFonts w:ascii="Garamond" w:eastAsia="Garamond" w:hAnsi="Garamond" w:cs="Garamond"/>
          <w:color w:val="000000"/>
          <w:sz w:val="24"/>
          <w:szCs w:val="24"/>
        </w:rPr>
        <w:t>From</w:t>
      </w:r>
      <w:proofErr w:type="gramEnd"/>
      <w:r>
        <w:rPr>
          <w:rFonts w:ascii="Garamond" w:eastAsia="Garamond" w:hAnsi="Garamond" w:cs="Garamond"/>
          <w:color w:val="000000"/>
          <w:sz w:val="24"/>
          <w:szCs w:val="24"/>
        </w:rPr>
        <w:t xml:space="preserve"> Transportation and Logistics of the Consumer Goods Industry in Southeast Asia. International Journal of Technology, 11(2), 333. https://doi.org/10.14716/ijtech.v11i2.3466</w:t>
      </w:r>
    </w:p>
    <w:p w14:paraId="21FAC5A0"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Mulya, A., Wibowo, S. A., &amp; Purwanegara, M. S. (2023). Elevating Consumer Decision Journey to Increase Consumer Loyalty in Tokopedia and Shopee for PT. SNACK LEZAT Products. The Asian Journal of Technology Management (Ajtm), 16(3), 201–210. https://doi.org/10.12695/ajtm.2023.16.3.4</w:t>
      </w:r>
    </w:p>
    <w:p w14:paraId="2C7C4845"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Murfield, M. L. U., Boone, C. A., Rutner, P., &amp; Thomas, R. W. (2017). Investigating Logistics Service Quality in Omni-Channel Retailing. International Journal of Physical Distribution &amp; Logistics Management, 47(4), 263–296. https://doi.org/10.1108/ijpdlm-06-2016-0161</w:t>
      </w:r>
    </w:p>
    <w:p w14:paraId="36ED3AEF"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Nadeem, M., Gan, C., &amp; Nguyen, C. (2017). Does Intellectual Capital Efficiency Improve Firm Performance in BRICS Economies? A Dynamic Panel Estimation. Measuring Business Excellence, 21(1), 65–85. https://doi.org/10.1108/mbe-12-2015-0055</w:t>
      </w:r>
    </w:p>
    <w:p w14:paraId="45FAC1AF"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Nailah, N., &amp; Rusydiana, A. S. (2020). Efficiency and Stability of Islamic Banking in Asean: Dea Window Analysis. Tazkia Islamic Finance and Business Review, 14(1). https://doi.org/10.30993/tifbr.v14i1.211</w:t>
      </w:r>
    </w:p>
    <w:p w14:paraId="3FE52EC4"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Natarajan, T., Raghavan, D. R. V., &amp; Jayapal, J. (2023). How Does Channel Integration Quality Promote Omnichannel Customer Citizenship Behavior? The Moderating Role of the Number of Channels Used and Gender. Kybernetes, 53(10), 3133–3159. https://doi.org/10.1108/k-11-2022-1594</w:t>
      </w:r>
    </w:p>
    <w:p w14:paraId="563FE706"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Ryba, R. (2024). Evaluating the Economic Impacts of a Cage-Free Animal Welfare Policy in Southeast Asian and Indian Egg Production: A Systematic Review. Evaluation Review, 49(3), 564–593. https://doi.org/10.1177/0193841x241280681</w:t>
      </w:r>
    </w:p>
    <w:p w14:paraId="6C8EB881"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Saghiri, S., Wilding, R., Mena, C., &amp; Bourlakis, M. (2017). Toward a Three-Dimensional Framework for Omni-Channel. Journal of Business Research, 77, 53–67. https://doi.org/10.1016/j.jbusres.2017.03.025</w:t>
      </w:r>
    </w:p>
    <w:p w14:paraId="3A491936"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Solem, B. A. A., Fredriksen, J. I., &amp; Sørebø, Ø. (2022). Dynamic Capabilities in the Realisation of Omnichannel Retailing. International Journal of Retail &amp; Distribution Management, 51(1), 21–38. https://doi.org/10.1108/ijrdm-12-2021-0599</w:t>
      </w:r>
    </w:p>
    <w:p w14:paraId="2158F945"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Sousa, P. R. d., Barbosa, M. W., Oliveira, L. K. d., Paulo Tarso Vilela de Resende, Rodrigues, R. R., Moura, M. T., &amp; Matoso, D. (2021). Challenges, Opportunities, and Lessons Learned: Sustainability in Brazilian Omnichannel Retail. Sustainability, 13(2), 666. https://doi.org/10.3390/su13020666</w:t>
      </w:r>
    </w:p>
    <w:p w14:paraId="6D5F9EEF" w14:textId="77777777" w:rsidR="00A04D3F" w:rsidRDefault="00000000" w:rsidP="00ED198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Urbaitytė, V., &amp; Ulbinaitė, A. (2020). Framework for Evaluating the Relationship Between the Omnichannel Online Sales Approach and Performance Outcome in the Case of Niche Products. https://doi.org/10.3846/bm.2020.563</w:t>
      </w:r>
    </w:p>
    <w:p w14:paraId="086132FC" w14:textId="77777777" w:rsidR="00A04D3F" w:rsidRDefault="00000000" w:rsidP="00ED198D">
      <w:pPr>
        <w:pBdr>
          <w:top w:val="nil"/>
          <w:left w:val="nil"/>
          <w:bottom w:val="nil"/>
          <w:right w:val="nil"/>
          <w:between w:val="nil"/>
        </w:pBdr>
        <w:spacing w:before="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Zhu, C., Husnain, M., Ullah, S., Khan, M. T., &amp; Ali, W. (2022). Gender Diversity and Firms’ Sustainable Performance: Moderating Role of CEO Duality in Emerging Equity Market. Sustainability, 14(12), 7177. https://doi.org/10.3390/su14127177</w:t>
      </w:r>
    </w:p>
    <w:sectPr w:rsidR="00A04D3F" w:rsidSect="00ED198D">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pgNumType w:start="25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49A4E" w14:textId="77777777" w:rsidR="0036349B" w:rsidRDefault="0036349B">
      <w:pPr>
        <w:spacing w:after="0" w:line="240" w:lineRule="auto"/>
      </w:pPr>
      <w:r>
        <w:separator/>
      </w:r>
    </w:p>
  </w:endnote>
  <w:endnote w:type="continuationSeparator" w:id="0">
    <w:p w14:paraId="1D425FE7" w14:textId="77777777" w:rsidR="0036349B" w:rsidRDefault="00363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2199C9E-226A-4A4D-B251-C99BE051CA4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E5B0E07-94DE-47E7-AB36-F365F54BCD55}"/>
    <w:embedBold r:id="rId3" w:fontKey="{DC3018AE-9A0C-4CD6-A713-2E1CB1AC03AC}"/>
    <w:embedItalic r:id="rId4" w:fontKey="{EB5B484E-9260-4F12-B12A-E2DF4AB5310D}"/>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5343BE60-2FC8-41FE-8773-CB9C61F7B7BA}"/>
    <w:embedItalic r:id="rId6" w:fontKey="{84CF605E-FE56-49AB-8EC5-A409E4C4A71C}"/>
  </w:font>
  <w:font w:name="Segoe UI">
    <w:panose1 w:val="020B0502040204020203"/>
    <w:charset w:val="00"/>
    <w:family w:val="swiss"/>
    <w:pitch w:val="variable"/>
    <w:sig w:usb0="E4002EFF" w:usb1="C000E47F" w:usb2="00000009" w:usb3="00000000" w:csb0="000001FF" w:csb1="00000000"/>
    <w:embedRegular r:id="rId7" w:fontKey="{D066012E-4FF5-405F-A770-186D531A54C2}"/>
  </w:font>
  <w:font w:name="Georgia">
    <w:panose1 w:val="02040502050405020303"/>
    <w:charset w:val="00"/>
    <w:family w:val="roman"/>
    <w:pitch w:val="variable"/>
    <w:sig w:usb0="00000287" w:usb1="00000000" w:usb2="00000000" w:usb3="00000000" w:csb0="0000009F" w:csb1="00000000"/>
    <w:embedRegular r:id="rId8" w:fontKey="{BB4DD0AB-2C8C-43BA-A05A-9A3D8AE3D593}"/>
    <w:embedItalic r:id="rId9" w:fontKey="{ED748FBB-666E-49AD-A66E-E429BC7E8578}"/>
  </w:font>
  <w:font w:name="Garamond">
    <w:panose1 w:val="02020404030301010803"/>
    <w:charset w:val="00"/>
    <w:family w:val="roman"/>
    <w:pitch w:val="variable"/>
    <w:sig w:usb0="00000287" w:usb1="00000000" w:usb2="00000000" w:usb3="00000000" w:csb0="0000009F" w:csb1="00000000"/>
    <w:embedRegular r:id="rId10" w:fontKey="{8BB614E3-D049-4E00-B09E-A156B0F879DF}"/>
    <w:embedBold r:id="rId11" w:fontKey="{F97D6BAC-0ED4-46CD-9DA9-4B047BA5D4CB}"/>
    <w:embedItalic r:id="rId12" w:fontKey="{88046D44-FFEA-4534-8D16-9E14B2E8610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3" w:fontKey="{35666DE5-E0F1-4F6F-940E-8F66FAB15A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5B7A" w14:textId="286E0875" w:rsidR="00A04D3F" w:rsidRDefault="00000000">
    <w:pPr>
      <w:pBdr>
        <w:top w:val="single" w:sz="4" w:space="1" w:color="D9D9D9"/>
        <w:left w:val="nil"/>
        <w:bottom w:val="nil"/>
        <w:right w:val="nil"/>
        <w:between w:val="nil"/>
      </w:pBdr>
      <w:tabs>
        <w:tab w:val="center" w:pos="4680"/>
        <w:tab w:val="right" w:pos="9360"/>
        <w:tab w:val="left" w:pos="8910"/>
      </w:tabs>
      <w:spacing w:after="0" w:line="240" w:lineRule="auto"/>
      <w:rPr>
        <w:rFonts w:ascii="Garamond" w:eastAsia="Garamond" w:hAnsi="Garamond" w:cs="Garamond"/>
        <w:b/>
        <w:color w:val="000000"/>
      </w:rPr>
    </w:pPr>
    <w:r w:rsidRPr="00ED198D">
      <w:rPr>
        <w:rFonts w:ascii="Garamond" w:eastAsia="Garamond" w:hAnsi="Garamond" w:cs="Garamond"/>
        <w:b/>
        <w:bCs/>
        <w:color w:val="000000"/>
      </w:rPr>
      <w:fldChar w:fldCharType="begin"/>
    </w:r>
    <w:r w:rsidRPr="00ED198D">
      <w:rPr>
        <w:rFonts w:ascii="Garamond" w:eastAsia="Garamond" w:hAnsi="Garamond" w:cs="Garamond"/>
        <w:b/>
        <w:bCs/>
        <w:color w:val="000000"/>
      </w:rPr>
      <w:instrText>PAGE</w:instrText>
    </w:r>
    <w:r w:rsidRPr="00ED198D">
      <w:rPr>
        <w:rFonts w:ascii="Garamond" w:eastAsia="Garamond" w:hAnsi="Garamond" w:cs="Garamond"/>
        <w:b/>
        <w:bCs/>
        <w:color w:val="000000"/>
      </w:rPr>
      <w:fldChar w:fldCharType="separate"/>
    </w:r>
    <w:r w:rsidR="00ED198D" w:rsidRPr="00ED198D">
      <w:rPr>
        <w:rFonts w:ascii="Garamond" w:eastAsia="Garamond" w:hAnsi="Garamond" w:cs="Garamond"/>
        <w:b/>
        <w:bCs/>
        <w:noProof/>
        <w:color w:val="000000"/>
      </w:rPr>
      <w:t>2</w:t>
    </w:r>
    <w:r w:rsidRPr="00ED198D">
      <w:rPr>
        <w:rFonts w:ascii="Garamond" w:eastAsia="Garamond" w:hAnsi="Garamond" w:cs="Garamond"/>
        <w:b/>
        <w:bCs/>
        <w:color w:val="000000"/>
      </w:rPr>
      <w:fldChar w:fldCharType="end"/>
    </w:r>
    <w:r>
      <w:rPr>
        <w:rFonts w:ascii="Garamond" w:eastAsia="Garamond" w:hAnsi="Garamond" w:cs="Garamond"/>
        <w:b/>
        <w:color w:val="000000"/>
      </w:rPr>
      <w:t xml:space="preserve"> | </w:t>
    </w:r>
    <w:proofErr w:type="gramStart"/>
    <w:r>
      <w:rPr>
        <w:rFonts w:ascii="Garamond" w:eastAsia="Garamond" w:hAnsi="Garamond" w:cs="Garamond"/>
        <w:color w:val="000000"/>
      </w:rPr>
      <w:t>Data :</w:t>
    </w:r>
    <w:proofErr w:type="gramEnd"/>
    <w:r>
      <w:rPr>
        <w:rFonts w:ascii="Garamond" w:eastAsia="Garamond" w:hAnsi="Garamond" w:cs="Garamond"/>
        <w:color w:val="000000"/>
      </w:rPr>
      <w:t xml:space="preserve"> Journal of Information Systems and Management             </w:t>
    </w:r>
    <w:hyperlink r:id="rId1">
      <w:r>
        <w:rPr>
          <w:rFonts w:ascii="Garamond" w:eastAsia="Garamond" w:hAnsi="Garamond" w:cs="Garamond"/>
          <w:color w:val="0000FF"/>
          <w:u w:val="single"/>
        </w:rPr>
        <w:t>https://journal.idscipub.com/data</w:t>
      </w:r>
    </w:hyperlink>
    <w:r>
      <w:rPr>
        <w:rFonts w:ascii="Garamond" w:eastAsia="Garamond" w:hAnsi="Garamond" w:cs="Garamond"/>
        <w:color w:val="000000"/>
      </w:rPr>
      <w:t xml:space="preserve">                           </w:t>
    </w:r>
    <w:r>
      <w:rPr>
        <w:rFonts w:ascii="Garamond" w:eastAsia="Garamond" w:hAnsi="Garamond" w:cs="Garamond"/>
        <w:color w:val="7F7F7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5E36" w14:textId="41020DFD" w:rsidR="00A04D3F" w:rsidRDefault="00000000">
    <w:pPr>
      <w:pBdr>
        <w:top w:val="single" w:sz="4" w:space="1" w:color="D9D9D9"/>
        <w:left w:val="nil"/>
        <w:bottom w:val="nil"/>
        <w:right w:val="nil"/>
        <w:between w:val="nil"/>
      </w:pBdr>
      <w:tabs>
        <w:tab w:val="center" w:pos="4680"/>
        <w:tab w:val="right" w:pos="9360"/>
        <w:tab w:val="left" w:pos="8910"/>
      </w:tabs>
      <w:spacing w:after="0" w:line="240" w:lineRule="auto"/>
      <w:rPr>
        <w:rFonts w:ascii="Garamond" w:eastAsia="Garamond" w:hAnsi="Garamond" w:cs="Garamond"/>
        <w:b/>
        <w:color w:val="000000"/>
      </w:rPr>
    </w:pPr>
    <w:r w:rsidRPr="00ED198D">
      <w:rPr>
        <w:rFonts w:ascii="Garamond" w:eastAsia="Garamond" w:hAnsi="Garamond" w:cs="Garamond"/>
        <w:b/>
        <w:bCs/>
        <w:color w:val="000000"/>
      </w:rPr>
      <w:fldChar w:fldCharType="begin"/>
    </w:r>
    <w:r w:rsidRPr="00ED198D">
      <w:rPr>
        <w:rFonts w:ascii="Garamond" w:eastAsia="Garamond" w:hAnsi="Garamond" w:cs="Garamond"/>
        <w:b/>
        <w:bCs/>
        <w:color w:val="000000"/>
      </w:rPr>
      <w:instrText>PAGE</w:instrText>
    </w:r>
    <w:r w:rsidRPr="00ED198D">
      <w:rPr>
        <w:rFonts w:ascii="Garamond" w:eastAsia="Garamond" w:hAnsi="Garamond" w:cs="Garamond"/>
        <w:b/>
        <w:bCs/>
        <w:color w:val="000000"/>
      </w:rPr>
      <w:fldChar w:fldCharType="separate"/>
    </w:r>
    <w:r w:rsidR="00ED198D" w:rsidRPr="00ED198D">
      <w:rPr>
        <w:rFonts w:ascii="Garamond" w:eastAsia="Garamond" w:hAnsi="Garamond" w:cs="Garamond"/>
        <w:b/>
        <w:bCs/>
        <w:noProof/>
        <w:color w:val="000000"/>
      </w:rPr>
      <w:t>1</w:t>
    </w:r>
    <w:r w:rsidRPr="00ED198D">
      <w:rPr>
        <w:rFonts w:ascii="Garamond" w:eastAsia="Garamond" w:hAnsi="Garamond" w:cs="Garamond"/>
        <w:b/>
        <w:bCs/>
        <w:color w:val="000000"/>
      </w:rPr>
      <w:fldChar w:fldCharType="end"/>
    </w:r>
    <w:r>
      <w:rPr>
        <w:rFonts w:ascii="Garamond" w:eastAsia="Garamond" w:hAnsi="Garamond" w:cs="Garamond"/>
        <w:b/>
        <w:color w:val="000000"/>
      </w:rPr>
      <w:t xml:space="preserve"> | </w:t>
    </w:r>
    <w:proofErr w:type="gramStart"/>
    <w:r>
      <w:rPr>
        <w:rFonts w:ascii="Garamond" w:eastAsia="Garamond" w:hAnsi="Garamond" w:cs="Garamond"/>
        <w:color w:val="000000"/>
      </w:rPr>
      <w:t>Data :</w:t>
    </w:r>
    <w:proofErr w:type="gramEnd"/>
    <w:r>
      <w:rPr>
        <w:rFonts w:ascii="Garamond" w:eastAsia="Garamond" w:hAnsi="Garamond" w:cs="Garamond"/>
        <w:color w:val="000000"/>
      </w:rPr>
      <w:t xml:space="preserve"> Journal of Information Systems and Management             </w:t>
    </w:r>
    <w:hyperlink r:id="rId1">
      <w:r>
        <w:rPr>
          <w:rFonts w:ascii="Garamond" w:eastAsia="Garamond" w:hAnsi="Garamond" w:cs="Garamond"/>
          <w:color w:val="0000FF"/>
          <w:u w:val="single"/>
        </w:rPr>
        <w:t>https://journal.idscipub.com/data</w:t>
      </w:r>
    </w:hyperlink>
    <w:r>
      <w:rPr>
        <w:rFonts w:ascii="Garamond" w:eastAsia="Garamond" w:hAnsi="Garamond" w:cs="Garamond"/>
        <w:color w:val="000000"/>
      </w:rPr>
      <w:t xml:space="preserve">                           </w:t>
    </w:r>
    <w:r>
      <w:rPr>
        <w:rFonts w:ascii="Garamond" w:eastAsia="Garamond" w:hAnsi="Garamond" w:cs="Garamond"/>
        <w:color w:val="7F7F7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A04BF" w14:textId="77777777" w:rsidR="0036349B" w:rsidRDefault="0036349B">
      <w:pPr>
        <w:spacing w:after="0" w:line="240" w:lineRule="auto"/>
      </w:pPr>
      <w:r>
        <w:separator/>
      </w:r>
    </w:p>
  </w:footnote>
  <w:footnote w:type="continuationSeparator" w:id="0">
    <w:p w14:paraId="52AFD3B9" w14:textId="77777777" w:rsidR="0036349B" w:rsidRDefault="00363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5569" w14:textId="77777777" w:rsidR="00A04D3F" w:rsidRDefault="00000000">
    <w:pPr>
      <w:pStyle w:val="Title"/>
      <w:spacing w:line="276" w:lineRule="auto"/>
      <w:rPr>
        <w:rFonts w:ascii="Garamond" w:eastAsia="Garamond" w:hAnsi="Garamond" w:cs="Garamond"/>
        <w:sz w:val="22"/>
        <w:szCs w:val="22"/>
      </w:rPr>
    </w:pPr>
    <w:r>
      <w:rPr>
        <w:rFonts w:ascii="Garamond" w:eastAsia="Garamond" w:hAnsi="Garamond" w:cs="Garamond"/>
        <w:sz w:val="22"/>
        <w:szCs w:val="22"/>
      </w:rPr>
      <w:t xml:space="preserve">Pengaruh Strategi Pemasaran Dan Kualitas </w:t>
    </w:r>
    <w:proofErr w:type="gramStart"/>
    <w:r>
      <w:rPr>
        <w:rFonts w:ascii="Garamond" w:eastAsia="Garamond" w:hAnsi="Garamond" w:cs="Garamond"/>
        <w:sz w:val="22"/>
        <w:szCs w:val="22"/>
      </w:rPr>
      <w:t>Layanan  Terhadap</w:t>
    </w:r>
    <w:proofErr w:type="gramEnd"/>
    <w:r>
      <w:rPr>
        <w:rFonts w:ascii="Garamond" w:eastAsia="Garamond" w:hAnsi="Garamond" w:cs="Garamond"/>
        <w:sz w:val="22"/>
        <w:szCs w:val="22"/>
      </w:rPr>
      <w:t xml:space="preserve"> Keputusan Orang Tua Siswa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2EF0" w14:textId="77777777" w:rsidR="00A04D3F" w:rsidRDefault="00000000">
    <w:pPr>
      <w:pBdr>
        <w:top w:val="nil"/>
        <w:left w:val="nil"/>
        <w:bottom w:val="nil"/>
        <w:right w:val="nil"/>
        <w:between w:val="nil"/>
      </w:pBdr>
      <w:tabs>
        <w:tab w:val="center" w:pos="4680"/>
        <w:tab w:val="right" w:pos="9360"/>
      </w:tabs>
      <w:spacing w:after="0" w:line="240" w:lineRule="auto"/>
      <w:rPr>
        <w:rFonts w:ascii="Garamond" w:eastAsia="Garamond" w:hAnsi="Garamond" w:cs="Garamond"/>
        <w:b/>
        <w:color w:val="000000"/>
      </w:rPr>
    </w:pPr>
    <w:r>
      <w:rPr>
        <w:rFonts w:ascii="Garamond" w:eastAsia="Garamond" w:hAnsi="Garamond" w:cs="Garamond"/>
        <w:b/>
        <w:color w:val="000000"/>
      </w:rPr>
      <w:t>Digital Meets Distribution: Quantifying the Impact of Logistics Integration in Emerging Market</w:t>
    </w:r>
  </w:p>
  <w:p w14:paraId="78F06B00" w14:textId="77777777" w:rsidR="00A04D3F" w:rsidRDefault="00000000">
    <w:pPr>
      <w:pBdr>
        <w:top w:val="nil"/>
        <w:left w:val="nil"/>
        <w:bottom w:val="nil"/>
        <w:right w:val="nil"/>
        <w:between w:val="nil"/>
      </w:pBdr>
      <w:tabs>
        <w:tab w:val="center" w:pos="4680"/>
        <w:tab w:val="right" w:pos="9360"/>
      </w:tabs>
      <w:spacing w:after="0" w:line="240" w:lineRule="auto"/>
      <w:rPr>
        <w:rFonts w:ascii="Garamond" w:eastAsia="Garamond" w:hAnsi="Garamond" w:cs="Garamond"/>
        <w:b/>
        <w:color w:val="000000"/>
      </w:rPr>
    </w:pPr>
    <w:r>
      <w:rPr>
        <w:rFonts w:ascii="Garamond" w:eastAsia="Garamond" w:hAnsi="Garamond" w:cs="Garamond"/>
        <w:b/>
        <w:color w:val="000000"/>
      </w:rPr>
      <w:t>Omnichannel Retail</w:t>
    </w:r>
  </w:p>
  <w:p w14:paraId="4F1F2097" w14:textId="1758AFD8" w:rsidR="00ED198D" w:rsidRDefault="00ED198D" w:rsidP="00ED198D">
    <w:pPr>
      <w:pStyle w:val="Header"/>
      <w:rPr>
        <w:rFonts w:ascii="Garamond" w:hAnsi="Garamond" w:cs="Times New Roman"/>
        <w:lang w:val="id-ID"/>
      </w:rPr>
    </w:pPr>
    <w:r>
      <w:rPr>
        <w:rFonts w:ascii="Garamond" w:hAnsi="Garamond" w:cs="Times New Roman"/>
        <w:lang w:val="id-ID"/>
      </w:rPr>
      <w:t>Akbariani and Setiyowati</w:t>
    </w:r>
  </w:p>
  <w:p w14:paraId="3A45D995" w14:textId="51FECE78" w:rsidR="00A04D3F" w:rsidRDefault="00ED198D" w:rsidP="00ED198D">
    <w:pPr>
      <w:pStyle w:val="Header"/>
      <w:rPr>
        <w:color w:val="000000"/>
      </w:rPr>
    </w:pPr>
    <w:r>
      <w:rPr>
        <w:noProof/>
        <w:color w:val="000000"/>
      </w:rPr>
      <mc:AlternateContent>
        <mc:Choice Requires="wps">
          <w:drawing>
            <wp:anchor distT="0" distB="0" distL="114300" distR="114300" simplePos="0" relativeHeight="251669504" behindDoc="0" locked="0" layoutInCell="1" allowOverlap="1" wp14:anchorId="3875AAF6" wp14:editId="152C771C">
              <wp:simplePos x="0" y="0"/>
              <wp:positionH relativeFrom="column">
                <wp:posOffset>0</wp:posOffset>
              </wp:positionH>
              <wp:positionV relativeFrom="paragraph">
                <wp:posOffset>83820</wp:posOffset>
              </wp:positionV>
              <wp:extent cx="5748655" cy="0"/>
              <wp:effectExtent l="0" t="0" r="0" b="0"/>
              <wp:wrapNone/>
              <wp:docPr id="2108589428" name="Straight Connector 7"/>
              <wp:cNvGraphicFramePr/>
              <a:graphic xmlns:a="http://schemas.openxmlformats.org/drawingml/2006/main">
                <a:graphicData uri="http://schemas.microsoft.com/office/word/2010/wordprocessingShape">
                  <wps:wsp>
                    <wps:cNvCnPr/>
                    <wps:spPr>
                      <a:xfrm>
                        <a:off x="0" y="0"/>
                        <a:ext cx="5748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EB30A3"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6.6pt" to="452.6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" strokecolor="black [3200]" strokeweight=".5pt">
              <v:stroke joinstyle="miter"/>
            </v:line>
          </w:pict>
        </mc:Fallback>
      </mc:AlternateContent>
    </w:r>
    <w:r>
      <w:rPr>
        <w:noProof/>
      </w:rPr>
      <mc:AlternateContent>
        <mc:Choice Requires="wps">
          <w:drawing>
            <wp:anchor distT="0" distB="0" distL="114300" distR="114300" simplePos="0" relativeHeight="251668480" behindDoc="0" locked="0" layoutInCell="1" hidden="0" allowOverlap="1" wp14:anchorId="65E23B8B" wp14:editId="3313438D">
              <wp:simplePos x="0" y="0"/>
              <wp:positionH relativeFrom="column">
                <wp:posOffset>1</wp:posOffset>
              </wp:positionH>
              <wp:positionV relativeFrom="paragraph">
                <wp:posOffset>77470</wp:posOffset>
              </wp:positionV>
              <wp:extent cx="0" cy="12700"/>
              <wp:effectExtent l="0" t="0" r="0" b="0"/>
              <wp:wrapNone/>
              <wp:docPr id="896159594" name="Straight Arrow Connector 896159594"/>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03AA5D3C" id="_x0000_t32" coordsize="21600,21600" o:spt="32" o:oned="t" path="m,l21600,21600e" filled="f">
              <v:path arrowok="t" fillok="f" o:connecttype="none"/>
              <o:lock v:ext="edit" shapetype="t"/>
            </v:shapetype>
            <v:shape id="Straight Arrow Connector 896159594" o:spid="_x0000_s1026" type="#_x0000_t32" style="position:absolute;margin-left:0;margin-top:6.1pt;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7456" behindDoc="0" locked="0" layoutInCell="1" hidden="0" allowOverlap="1" wp14:anchorId="05133BF6" wp14:editId="4DF007A3">
              <wp:simplePos x="0" y="0"/>
              <wp:positionH relativeFrom="column">
                <wp:posOffset>1</wp:posOffset>
              </wp:positionH>
              <wp:positionV relativeFrom="paragraph">
                <wp:posOffset>77470</wp:posOffset>
              </wp:positionV>
              <wp:extent cx="0" cy="12700"/>
              <wp:effectExtent l="0" t="0" r="0" b="0"/>
              <wp:wrapNone/>
              <wp:docPr id="1709214711" name="Straight Arrow Connector 1709214711"/>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691C80F" id="Straight Arrow Connector 1709214711" o:spid="_x0000_s1026" type="#_x0000_t32" style="position:absolute;margin-left:0;margin-top:6.1pt;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6432" behindDoc="0" locked="0" layoutInCell="1" hidden="0" allowOverlap="1" wp14:anchorId="0C61C5B2" wp14:editId="1DE9EA19">
              <wp:simplePos x="0" y="0"/>
              <wp:positionH relativeFrom="column">
                <wp:posOffset>1</wp:posOffset>
              </wp:positionH>
              <wp:positionV relativeFrom="paragraph">
                <wp:posOffset>77470</wp:posOffset>
              </wp:positionV>
              <wp:extent cx="0" cy="12700"/>
              <wp:effectExtent l="0" t="0" r="0" b="0"/>
              <wp:wrapNone/>
              <wp:docPr id="206184987" name="Straight Arrow Connector 206184987"/>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BD8F899" id="Straight Arrow Connector 206184987" o:spid="_x0000_s1026" type="#_x0000_t32" style="position:absolute;margin-left:0;margin-top:6.1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5408" behindDoc="0" locked="0" layoutInCell="1" hidden="0" allowOverlap="1" wp14:anchorId="31C68FE8" wp14:editId="298B946B">
              <wp:simplePos x="0" y="0"/>
              <wp:positionH relativeFrom="column">
                <wp:posOffset>1</wp:posOffset>
              </wp:positionH>
              <wp:positionV relativeFrom="paragraph">
                <wp:posOffset>77470</wp:posOffset>
              </wp:positionV>
              <wp:extent cx="0" cy="12700"/>
              <wp:effectExtent l="0" t="0" r="0" b="0"/>
              <wp:wrapNone/>
              <wp:docPr id="2128252983" name="Straight Arrow Connector 2128252983"/>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9960443" id="Straight Arrow Connector 2128252983" o:spid="_x0000_s1026" type="#_x0000_t32" style="position:absolute;margin-left:0;margin-top:6.1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4384" behindDoc="0" locked="0" layoutInCell="1" hidden="0" allowOverlap="1" wp14:anchorId="6AC99E3E" wp14:editId="53C89467">
              <wp:simplePos x="0" y="0"/>
              <wp:positionH relativeFrom="column">
                <wp:posOffset>1</wp:posOffset>
              </wp:positionH>
              <wp:positionV relativeFrom="paragraph">
                <wp:posOffset>77470</wp:posOffset>
              </wp:positionV>
              <wp:extent cx="0" cy="12700"/>
              <wp:effectExtent l="0" t="0" r="0" b="0"/>
              <wp:wrapNone/>
              <wp:docPr id="1502661375" name="Straight Arrow Connector 1502661375"/>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B487815" id="Straight Arrow Connector 1502661375" o:spid="_x0000_s1026" type="#_x0000_t32" style="position:absolute;margin-left:0;margin-top:6.1pt;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3360" behindDoc="0" locked="0" layoutInCell="1" hidden="0" allowOverlap="1" wp14:anchorId="50F21234" wp14:editId="71B1261C">
              <wp:simplePos x="0" y="0"/>
              <wp:positionH relativeFrom="column">
                <wp:posOffset>1</wp:posOffset>
              </wp:positionH>
              <wp:positionV relativeFrom="paragraph">
                <wp:posOffset>77470</wp:posOffset>
              </wp:positionV>
              <wp:extent cx="0" cy="12700"/>
              <wp:effectExtent l="0" t="0" r="0" b="0"/>
              <wp:wrapNone/>
              <wp:docPr id="139098309" name="Straight Arrow Connector 139098309"/>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536B949" id="Straight Arrow Connector 139098309" o:spid="_x0000_s1026" type="#_x0000_t32" style="position:absolute;margin-left:0;margin-top:6.1pt;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2336" behindDoc="0" locked="0" layoutInCell="1" hidden="0" allowOverlap="1" wp14:anchorId="340FFC7B" wp14:editId="6455BB58">
              <wp:simplePos x="0" y="0"/>
              <wp:positionH relativeFrom="column">
                <wp:posOffset>1</wp:posOffset>
              </wp:positionH>
              <wp:positionV relativeFrom="paragraph">
                <wp:posOffset>77470</wp:posOffset>
              </wp:positionV>
              <wp:extent cx="0" cy="12700"/>
              <wp:effectExtent l="0" t="0" r="0" b="0"/>
              <wp:wrapNone/>
              <wp:docPr id="1626378694" name="Straight Arrow Connector 1626378694"/>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1DE3568" id="Straight Arrow Connector 1626378694" o:spid="_x0000_s1026" type="#_x0000_t32" style="position:absolute;margin-left:0;margin-top:6.1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00000000">
      <w:rPr>
        <w:noProof/>
      </w:rPr>
      <mc:AlternateContent>
        <mc:Choice Requires="wps">
          <w:drawing>
            <wp:anchor distT="0" distB="0" distL="114300" distR="114300" simplePos="0" relativeHeight="251658240" behindDoc="0" locked="0" layoutInCell="1" hidden="0" allowOverlap="1" wp14:anchorId="264DC5CF" wp14:editId="10AA65C7">
              <wp:simplePos x="0" y="0"/>
              <wp:positionH relativeFrom="column">
                <wp:posOffset>1</wp:posOffset>
              </wp:positionH>
              <wp:positionV relativeFrom="paragraph">
                <wp:posOffset>77470</wp:posOffset>
              </wp:positionV>
              <wp:extent cx="0" cy="12700"/>
              <wp:effectExtent l="0" t="0" r="0" b="0"/>
              <wp:wrapNone/>
              <wp:docPr id="2108589429" name="Straight Arrow Connector 2108589429"/>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77470</wp:posOffset>
              </wp:positionV>
              <wp:extent cx="0" cy="12700"/>
              <wp:effectExtent b="0" l="0" r="0" t="0"/>
              <wp:wrapNone/>
              <wp:docPr id="210858942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4CA3" w14:textId="77777777" w:rsidR="00ED198D" w:rsidRDefault="00ED198D" w:rsidP="00ED198D">
    <w:pPr>
      <w:tabs>
        <w:tab w:val="right" w:pos="8931"/>
      </w:tabs>
      <w:spacing w:after="0" w:line="240" w:lineRule="auto"/>
      <w:rPr>
        <w:rFonts w:ascii="Garamond" w:eastAsia="Garamond" w:hAnsi="Garamond" w:cs="Garamond"/>
        <w:b/>
        <w:color w:val="000000"/>
        <w:sz w:val="36"/>
        <w:szCs w:val="36"/>
      </w:rPr>
    </w:pPr>
    <w:r>
      <w:rPr>
        <w:rFonts w:ascii="Garamond" w:eastAsia="Garamond" w:hAnsi="Garamond" w:cs="Garamond"/>
        <w:b/>
        <w:color w:val="000000"/>
        <w:sz w:val="36"/>
        <w:szCs w:val="36"/>
      </w:rPr>
      <w:t xml:space="preserve">Data: </w:t>
    </w:r>
    <w:r w:rsidRPr="004766CC">
      <w:rPr>
        <w:rFonts w:ascii="Garamond" w:eastAsia="Garamond" w:hAnsi="Garamond" w:cs="Garamond"/>
        <w:b/>
        <w:color w:val="000000"/>
        <w:sz w:val="36"/>
        <w:szCs w:val="36"/>
      </w:rPr>
      <w:t>Journal of Information Systems and Management</w:t>
    </w:r>
  </w:p>
  <w:p w14:paraId="5A99A769" w14:textId="77777777" w:rsidR="00ED198D" w:rsidRDefault="00ED198D" w:rsidP="00ED198D">
    <w:pPr>
      <w:tabs>
        <w:tab w:val="right" w:pos="8931"/>
      </w:tabs>
      <w:spacing w:after="0" w:line="240" w:lineRule="auto"/>
      <w:rPr>
        <w:rFonts w:ascii="Garamond" w:eastAsia="Garamond" w:hAnsi="Garamond" w:cs="Garamond"/>
      </w:rPr>
    </w:pPr>
    <w:r w:rsidRPr="000F6874">
      <w:rPr>
        <w:rFonts w:ascii="Garamond" w:eastAsia="Garamond" w:hAnsi="Garamond" w:cs="Garamond"/>
      </w:rPr>
      <w:t>E-</w:t>
    </w:r>
    <w:proofErr w:type="gramStart"/>
    <w:r w:rsidRPr="000F6874">
      <w:rPr>
        <w:rFonts w:ascii="Garamond" w:eastAsia="Garamond" w:hAnsi="Garamond" w:cs="Garamond"/>
      </w:rPr>
      <w:t>ISSN :</w:t>
    </w:r>
    <w:proofErr w:type="gramEnd"/>
    <w:r w:rsidRPr="000F6874">
      <w:rPr>
        <w:rFonts w:ascii="Garamond" w:eastAsia="Garamond" w:hAnsi="Garamond" w:cs="Garamond"/>
      </w:rPr>
      <w:t xml:space="preserve"> 3031-0008</w:t>
    </w:r>
  </w:p>
  <w:p w14:paraId="53B848B4" w14:textId="77777777" w:rsidR="00ED198D" w:rsidRDefault="00ED198D" w:rsidP="00ED198D">
    <w:pPr>
      <w:tabs>
        <w:tab w:val="right" w:pos="8931"/>
      </w:tabs>
      <w:spacing w:after="0" w:line="240" w:lineRule="auto"/>
      <w:rPr>
        <w:rFonts w:ascii="Garamond" w:eastAsia="Garamond" w:hAnsi="Garamond" w:cs="Garamond"/>
      </w:rPr>
    </w:pPr>
    <w:r>
      <w:rPr>
        <w:noProof/>
      </w:rPr>
      <w:drawing>
        <wp:anchor distT="0" distB="0" distL="114300" distR="114300" simplePos="0" relativeHeight="251660288" behindDoc="1" locked="0" layoutInCell="1" hidden="0" allowOverlap="1" wp14:anchorId="7CB95675" wp14:editId="6D36D11E">
          <wp:simplePos x="0" y="0"/>
          <wp:positionH relativeFrom="column">
            <wp:posOffset>4673600</wp:posOffset>
          </wp:positionH>
          <wp:positionV relativeFrom="paragraph">
            <wp:posOffset>90170</wp:posOffset>
          </wp:positionV>
          <wp:extent cx="1024466" cy="355600"/>
          <wp:effectExtent l="0" t="0" r="4445" b="6350"/>
          <wp:wrapNone/>
          <wp:docPr id="54834096" name="image2.jpg" descr="A logo with blu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logo with blue letters&#10;&#10;Description automatically generated"/>
                  <pic:cNvPicPr preferRelativeResize="0"/>
                </pic:nvPicPr>
                <pic:blipFill>
                  <a:blip r:embed="rId1"/>
                  <a:srcRect/>
                  <a:stretch>
                    <a:fillRect/>
                  </a:stretch>
                </pic:blipFill>
                <pic:spPr>
                  <a:xfrm>
                    <a:off x="0" y="0"/>
                    <a:ext cx="1024466" cy="355600"/>
                  </a:xfrm>
                  <a:prstGeom prst="rect">
                    <a:avLst/>
                  </a:prstGeom>
                  <a:ln/>
                </pic:spPr>
              </pic:pic>
            </a:graphicData>
          </a:graphic>
          <wp14:sizeRelH relativeFrom="margin">
            <wp14:pctWidth>0</wp14:pctWidth>
          </wp14:sizeRelH>
        </wp:anchor>
      </w:drawing>
    </w:r>
    <w:r>
      <w:rPr>
        <w:rFonts w:ascii="Garamond" w:eastAsia="Garamond" w:hAnsi="Garamond" w:cs="Garamond"/>
      </w:rPr>
      <w:t>Volume. 2, Issue 4, October 2024</w:t>
    </w:r>
  </w:p>
  <w:p w14:paraId="5FC9F35C" w14:textId="5B52C914" w:rsidR="00ED198D" w:rsidRDefault="00ED198D" w:rsidP="00ED198D">
    <w:pPr>
      <w:tabs>
        <w:tab w:val="right" w:pos="8931"/>
      </w:tabs>
      <w:spacing w:after="0" w:line="240" w:lineRule="auto"/>
      <w:rPr>
        <w:rFonts w:ascii="Garamond" w:eastAsia="Garamond" w:hAnsi="Garamond" w:cs="Garamond"/>
        <w:color w:val="000000"/>
      </w:rPr>
    </w:pPr>
    <w:r>
      <w:rPr>
        <w:rFonts w:ascii="Garamond" w:eastAsia="Garamond" w:hAnsi="Garamond" w:cs="Garamond"/>
        <w:color w:val="000000"/>
      </w:rPr>
      <w:t>Page No: 2</w:t>
    </w:r>
    <w:r>
      <w:rPr>
        <w:rFonts w:ascii="Garamond" w:eastAsia="Garamond" w:hAnsi="Garamond" w:cs="Garamond"/>
        <w:color w:val="000000"/>
      </w:rPr>
      <w:t>53-263</w:t>
    </w:r>
  </w:p>
  <w:p w14:paraId="618A05AF" w14:textId="77777777" w:rsidR="00ED198D" w:rsidRDefault="00ED198D" w:rsidP="00ED198D">
    <w:pPr>
      <w:pBdr>
        <w:top w:val="nil"/>
        <w:left w:val="nil"/>
        <w:bottom w:val="single" w:sz="6" w:space="1" w:color="000000"/>
        <w:right w:val="nil"/>
        <w:between w:val="nil"/>
      </w:pBdr>
      <w:tabs>
        <w:tab w:val="center" w:pos="4680"/>
        <w:tab w:val="right" w:pos="9360"/>
      </w:tabs>
      <w:spacing w:after="0" w:line="240" w:lineRule="auto"/>
      <w:rPr>
        <w:color w:val="000000"/>
      </w:rPr>
    </w:pPr>
  </w:p>
  <w:p w14:paraId="1FACAAF2" w14:textId="77777777" w:rsidR="00A04D3F" w:rsidRPr="00ED198D" w:rsidRDefault="00A04D3F" w:rsidP="00ED1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041CA"/>
    <w:multiLevelType w:val="multilevel"/>
    <w:tmpl w:val="57943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A733E78"/>
    <w:multiLevelType w:val="multilevel"/>
    <w:tmpl w:val="865E5E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CCD6CC5"/>
    <w:multiLevelType w:val="multilevel"/>
    <w:tmpl w:val="07D49A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D464C01"/>
    <w:multiLevelType w:val="multilevel"/>
    <w:tmpl w:val="1BB65F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74605750">
    <w:abstractNumId w:val="0"/>
  </w:num>
  <w:num w:numId="2" w16cid:durableId="894974057">
    <w:abstractNumId w:val="1"/>
  </w:num>
  <w:num w:numId="3" w16cid:durableId="420223339">
    <w:abstractNumId w:val="3"/>
  </w:num>
  <w:num w:numId="4" w16cid:durableId="1286303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D3F"/>
    <w:rsid w:val="0036349B"/>
    <w:rsid w:val="005F154E"/>
    <w:rsid w:val="00A04D3F"/>
    <w:rsid w:val="00A143D4"/>
    <w:rsid w:val="00ED1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A8B4F"/>
  <w15:docId w15:val="{71E0DD8D-1BDF-4917-907A-EFA9D150E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sz w:val="56"/>
      <w:szCs w:val="56"/>
    </w:rPr>
  </w:style>
  <w:style w:type="character" w:customStyle="1" w:styleId="Heading1Char">
    <w:name w:val="Heading 1 Char"/>
    <w:basedOn w:val="DefaultParagraphFont"/>
    <w:link w:val="Heading1"/>
    <w:uiPriority w:val="9"/>
    <w:rsid w:val="00D03C7B"/>
    <w:rPr>
      <w:rFonts w:asciiTheme="majorHAnsi" w:eastAsiaTheme="majorEastAsia" w:hAnsiTheme="majorHAnsi" w:cstheme="majorBidi"/>
      <w:color w:val="2F5496" w:themeColor="accent1" w:themeShade="BF"/>
      <w:sz w:val="32"/>
      <w:szCs w:val="32"/>
    </w:rPr>
  </w:style>
  <w:style w:type="character" w:customStyle="1" w:styleId="TitleChar">
    <w:name w:val="Title Char"/>
    <w:basedOn w:val="DefaultParagraphFont"/>
    <w:link w:val="Title"/>
    <w:uiPriority w:val="10"/>
    <w:rsid w:val="00D03C7B"/>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034C3A"/>
    <w:rPr>
      <w:rFonts w:asciiTheme="majorHAnsi" w:eastAsiaTheme="majorEastAsia" w:hAnsiTheme="majorHAnsi" w:cstheme="majorBidi"/>
      <w:color w:val="1F3763" w:themeColor="accent1" w:themeShade="7F"/>
      <w:sz w:val="24"/>
      <w:szCs w:val="24"/>
    </w:rPr>
  </w:style>
  <w:style w:type="character" w:customStyle="1" w:styleId="go">
    <w:name w:val="go"/>
    <w:basedOn w:val="DefaultParagraphFont"/>
    <w:rsid w:val="00034C3A"/>
  </w:style>
  <w:style w:type="paragraph" w:styleId="Header">
    <w:name w:val="header"/>
    <w:basedOn w:val="Normal"/>
    <w:link w:val="HeaderChar"/>
    <w:uiPriority w:val="99"/>
    <w:unhideWhenUsed/>
    <w:rsid w:val="00613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1A0"/>
  </w:style>
  <w:style w:type="paragraph" w:styleId="Footer">
    <w:name w:val="footer"/>
    <w:basedOn w:val="Normal"/>
    <w:link w:val="FooterChar"/>
    <w:uiPriority w:val="99"/>
    <w:unhideWhenUsed/>
    <w:rsid w:val="00613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1A0"/>
  </w:style>
  <w:style w:type="paragraph" w:styleId="ListParagraph">
    <w:name w:val="List Paragraph"/>
    <w:basedOn w:val="Normal"/>
    <w:uiPriority w:val="34"/>
    <w:qFormat/>
    <w:rsid w:val="006131A0"/>
    <w:pPr>
      <w:spacing w:after="200" w:line="276" w:lineRule="auto"/>
      <w:ind w:left="720"/>
      <w:contextualSpacing/>
    </w:pPr>
    <w:rPr>
      <w:rFonts w:cs="Times New Roman"/>
    </w:rPr>
  </w:style>
  <w:style w:type="paragraph" w:styleId="FootnoteText">
    <w:name w:val="footnote text"/>
    <w:basedOn w:val="Normal"/>
    <w:link w:val="FootnoteTextChar"/>
    <w:uiPriority w:val="99"/>
    <w:unhideWhenUsed/>
    <w:rsid w:val="006131A0"/>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6131A0"/>
    <w:rPr>
      <w:rFonts w:ascii="Calibri" w:eastAsia="Calibri" w:hAnsi="Calibri" w:cs="Times New Roman"/>
      <w:sz w:val="20"/>
      <w:szCs w:val="20"/>
    </w:rPr>
  </w:style>
  <w:style w:type="character" w:styleId="FootnoteReference">
    <w:name w:val="footnote reference"/>
    <w:uiPriority w:val="99"/>
    <w:semiHidden/>
    <w:unhideWhenUsed/>
    <w:rsid w:val="006131A0"/>
    <w:rPr>
      <w:vertAlign w:val="superscript"/>
    </w:rPr>
  </w:style>
  <w:style w:type="character" w:customStyle="1" w:styleId="Heading2Char">
    <w:name w:val="Heading 2 Char"/>
    <w:basedOn w:val="DefaultParagraphFont"/>
    <w:link w:val="Heading2"/>
    <w:uiPriority w:val="9"/>
    <w:rsid w:val="006131A0"/>
    <w:rPr>
      <w:rFonts w:asciiTheme="majorHAnsi" w:eastAsiaTheme="majorEastAsia" w:hAnsiTheme="majorHAnsi" w:cstheme="majorBidi"/>
      <w:color w:val="2F5496" w:themeColor="accent1" w:themeShade="BF"/>
      <w:sz w:val="26"/>
      <w:szCs w:val="26"/>
    </w:rPr>
  </w:style>
  <w:style w:type="character" w:styleId="Hyperlink">
    <w:name w:val="Hyperlink"/>
    <w:uiPriority w:val="99"/>
    <w:unhideWhenUsed/>
    <w:rsid w:val="00012409"/>
    <w:rPr>
      <w:color w:val="0000FF"/>
      <w:u w:val="single"/>
    </w:rPr>
  </w:style>
  <w:style w:type="paragraph" w:styleId="Caption">
    <w:name w:val="caption"/>
    <w:basedOn w:val="Normal"/>
    <w:next w:val="Normal"/>
    <w:uiPriority w:val="35"/>
    <w:unhideWhenUsed/>
    <w:qFormat/>
    <w:rsid w:val="00086EEA"/>
    <w:pPr>
      <w:spacing w:after="200" w:line="240" w:lineRule="auto"/>
    </w:pPr>
    <w:rPr>
      <w:i/>
      <w:iCs/>
      <w:color w:val="44546A" w:themeColor="text2"/>
      <w:sz w:val="18"/>
      <w:szCs w:val="18"/>
    </w:rPr>
  </w:style>
  <w:style w:type="table" w:styleId="PlainTable2">
    <w:name w:val="Plain Table 2"/>
    <w:basedOn w:val="TableNormal"/>
    <w:uiPriority w:val="42"/>
    <w:rsid w:val="00B54D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9274B"/>
    <w:rPr>
      <w:sz w:val="16"/>
      <w:szCs w:val="16"/>
    </w:rPr>
  </w:style>
  <w:style w:type="paragraph" w:styleId="CommentText">
    <w:name w:val="annotation text"/>
    <w:basedOn w:val="Normal"/>
    <w:link w:val="CommentTextChar"/>
    <w:uiPriority w:val="99"/>
    <w:semiHidden/>
    <w:unhideWhenUsed/>
    <w:rsid w:val="0089274B"/>
    <w:pPr>
      <w:spacing w:line="240" w:lineRule="auto"/>
    </w:pPr>
    <w:rPr>
      <w:sz w:val="20"/>
      <w:szCs w:val="20"/>
    </w:rPr>
  </w:style>
  <w:style w:type="character" w:customStyle="1" w:styleId="CommentTextChar">
    <w:name w:val="Comment Text Char"/>
    <w:basedOn w:val="DefaultParagraphFont"/>
    <w:link w:val="CommentText"/>
    <w:uiPriority w:val="99"/>
    <w:semiHidden/>
    <w:rsid w:val="0089274B"/>
    <w:rPr>
      <w:sz w:val="20"/>
      <w:szCs w:val="20"/>
    </w:rPr>
  </w:style>
  <w:style w:type="paragraph" w:styleId="CommentSubject">
    <w:name w:val="annotation subject"/>
    <w:basedOn w:val="CommentText"/>
    <w:next w:val="CommentText"/>
    <w:link w:val="CommentSubjectChar"/>
    <w:uiPriority w:val="99"/>
    <w:semiHidden/>
    <w:unhideWhenUsed/>
    <w:rsid w:val="0089274B"/>
    <w:rPr>
      <w:b/>
      <w:bCs/>
    </w:rPr>
  </w:style>
  <w:style w:type="character" w:customStyle="1" w:styleId="CommentSubjectChar">
    <w:name w:val="Comment Subject Char"/>
    <w:basedOn w:val="CommentTextChar"/>
    <w:link w:val="CommentSubject"/>
    <w:uiPriority w:val="99"/>
    <w:semiHidden/>
    <w:rsid w:val="0089274B"/>
    <w:rPr>
      <w:b/>
      <w:bCs/>
      <w:sz w:val="20"/>
      <w:szCs w:val="20"/>
    </w:rPr>
  </w:style>
  <w:style w:type="paragraph" w:styleId="BalloonText">
    <w:name w:val="Balloon Text"/>
    <w:basedOn w:val="Normal"/>
    <w:link w:val="BalloonTextChar"/>
    <w:uiPriority w:val="99"/>
    <w:semiHidden/>
    <w:unhideWhenUsed/>
    <w:rsid w:val="008927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74B"/>
    <w:rPr>
      <w:rFonts w:ascii="Segoe UI" w:hAnsi="Segoe UI" w:cs="Segoe UI"/>
      <w:sz w:val="18"/>
      <w:szCs w:val="18"/>
    </w:rPr>
  </w:style>
  <w:style w:type="table" w:styleId="TableGrid">
    <w:name w:val="Table Grid"/>
    <w:basedOn w:val="TableNormal"/>
    <w:uiPriority w:val="39"/>
    <w:qFormat/>
    <w:rsid w:val="00892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B75C5"/>
  </w:style>
  <w:style w:type="character" w:styleId="UnresolvedMention">
    <w:name w:val="Unresolved Mention"/>
    <w:basedOn w:val="DefaultParagraphFont"/>
    <w:uiPriority w:val="99"/>
    <w:semiHidden/>
    <w:unhideWhenUsed/>
    <w:rsid w:val="00B622D1"/>
    <w:rPr>
      <w:color w:val="605E5C"/>
      <w:shd w:val="clear" w:color="auto" w:fill="E1DFDD"/>
    </w:rPr>
  </w:style>
  <w:style w:type="paragraph" w:styleId="HTMLPreformatted">
    <w:name w:val="HTML Preformatted"/>
    <w:basedOn w:val="Normal"/>
    <w:link w:val="HTMLPreformattedChar"/>
    <w:uiPriority w:val="99"/>
    <w:semiHidden/>
    <w:unhideWhenUsed/>
    <w:rsid w:val="006D0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D0C39"/>
    <w:rPr>
      <w:rFonts w:ascii="Courier New" w:eastAsia="Times New Roman" w:hAnsi="Courier New" w:cs="Courier New"/>
      <w:sz w:val="20"/>
      <w:szCs w:val="20"/>
    </w:rPr>
  </w:style>
  <w:style w:type="paragraph" w:customStyle="1" w:styleId="Default">
    <w:name w:val="Default"/>
    <w:rsid w:val="00041A6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FollowedHyperlink">
    <w:name w:val="FollowedHyperlink"/>
    <w:basedOn w:val="DefaultParagraphFont"/>
    <w:uiPriority w:val="99"/>
    <w:semiHidden/>
    <w:unhideWhenUsed/>
    <w:rsid w:val="00B35205"/>
    <w:rPr>
      <w:color w:val="954F72" w:themeColor="followedHyperlink"/>
      <w:u w:val="single"/>
    </w:rPr>
  </w:style>
  <w:style w:type="paragraph" w:styleId="NormalWeb">
    <w:name w:val="Normal (Web)"/>
    <w:basedOn w:val="Normal"/>
    <w:uiPriority w:val="99"/>
    <w:unhideWhenUsed/>
    <w:rsid w:val="002F1AE4"/>
    <w:pPr>
      <w:spacing w:before="100" w:beforeAutospacing="1" w:after="100" w:afterAutospacing="1" w:line="240" w:lineRule="auto"/>
    </w:pPr>
    <w:rPr>
      <w:rFonts w:ascii="Times New Roman" w:eastAsia="Times New Roman" w:hAnsi="Times New Roman" w:cs="Times New Roman"/>
      <w:sz w:val="24"/>
      <w:szCs w:val="24"/>
    </w:rPr>
  </w:style>
  <w:style w:type="table" w:styleId="PlainTable3">
    <w:name w:val="Plain Table 3"/>
    <w:basedOn w:val="TableNormal"/>
    <w:uiPriority w:val="43"/>
    <w:rsid w:val="00ED77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rynqvb">
    <w:name w:val="rynqvb"/>
    <w:basedOn w:val="DefaultParagraphFont"/>
    <w:rsid w:val="0051790B"/>
  </w:style>
  <w:style w:type="character" w:styleId="PlaceholderText">
    <w:name w:val="Placeholder Text"/>
    <w:basedOn w:val="DefaultParagraphFont"/>
    <w:uiPriority w:val="99"/>
    <w:semiHidden/>
    <w:rsid w:val="00110EAF"/>
    <w:rPr>
      <w:color w:val="666666"/>
    </w:rPr>
  </w:style>
  <w:style w:type="character" w:customStyle="1" w:styleId="Heading4Char">
    <w:name w:val="Heading 4 Char"/>
    <w:basedOn w:val="DefaultParagraphFont"/>
    <w:link w:val="Heading4"/>
    <w:uiPriority w:val="9"/>
    <w:semiHidden/>
    <w:rsid w:val="00341734"/>
    <w:rPr>
      <w:rFonts w:asciiTheme="majorHAnsi" w:eastAsiaTheme="majorEastAsia" w:hAnsiTheme="majorHAnsi" w:cstheme="majorBidi"/>
      <w:i/>
      <w:iCs/>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kbariani1006@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journal.idscipub.com/dat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idscipub.com/dat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cjB7kDuT2cU9ZqU8BbLk3tlqig==">CgMxLjAyDmguZmNtNnV5aG9saWx0OAByITEtSXlVNmJOS1doa1ZXb1d4WG14aTc5cVhfLXhlR2FqUg==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3833</Words>
  <Characters>25375</Characters>
  <Application>Microsoft Office Word</Application>
  <DocSecurity>0</DocSecurity>
  <Lines>437</Lines>
  <Paragraphs>164</Paragraphs>
  <ScaleCrop>false</ScaleCrop>
  <Company/>
  <LinksUpToDate>false</LinksUpToDate>
  <CharactersWithSpaces>29044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Sofyan</dc:creator>
  <cp:lastModifiedBy>Reviewer -</cp:lastModifiedBy>
  <cp:revision>3</cp:revision>
  <cp:lastPrinted>2025-10-07T00:43:00Z</cp:lastPrinted>
  <dcterms:created xsi:type="dcterms:W3CDTF">2025-10-07T00:43:00Z</dcterms:created>
  <dcterms:modified xsi:type="dcterms:W3CDTF">2025-10-07T00:46:00Z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adc409db-1889-37f0-98a3-e3680c5ed1cd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e06d41cad19b3276f3509cc6de3683e5048ad7d054c89b10f25777e9cfcf04ce</vt:lpwstr>
  </property>
</Properties>
</file>