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Garamond" w:cs="Garamond" w:eastAsia="Garamond" w:hAnsi="Garamond"/>
          <w:b w:val="1"/>
          <w:sz w:val="28"/>
          <w:szCs w:val="28"/>
        </w:rPr>
      </w:pPr>
      <w:r w:rsidDel="00000000" w:rsidR="00000000" w:rsidRPr="00000000">
        <w:rPr>
          <w:rFonts w:ascii="Garamond" w:cs="Garamond" w:eastAsia="Garamond" w:hAnsi="Garamond"/>
          <w:b w:val="1"/>
          <w:sz w:val="28"/>
          <w:szCs w:val="28"/>
          <w:rtl w:val="0"/>
        </w:rPr>
        <w:t xml:space="preserve">Dark Patterns and Consumer Decision Making in Emerging Markets: Experimental Evidence from Indonesia</w:t>
      </w:r>
    </w:p>
    <w:p w:rsidR="00000000" w:rsidDel="00000000" w:rsidP="00000000" w:rsidRDefault="00000000" w:rsidRPr="00000000" w14:paraId="00000002">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Andi Uceng1, Anisah Mutiara Zahra Hanifah2 </w:t>
      </w:r>
    </w:p>
    <w:p w:rsidR="00000000" w:rsidDel="00000000" w:rsidP="00000000" w:rsidRDefault="00000000" w:rsidRPr="00000000" w14:paraId="00000003">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1Universitas Muhammadiyah Sidenreng Rappang, Indonesia</w:t>
      </w:r>
    </w:p>
    <w:p w:rsidR="00000000" w:rsidDel="00000000" w:rsidP="00000000" w:rsidRDefault="00000000" w:rsidRPr="00000000" w14:paraId="00000004">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2Universitas Negeri Malang, Indonesia</w:t>
      </w:r>
    </w:p>
    <w:p w:rsidR="00000000" w:rsidDel="00000000" w:rsidP="00000000" w:rsidRDefault="00000000" w:rsidRPr="00000000" w14:paraId="00000005">
      <w:pPr>
        <w:jc w:val="center"/>
        <w:rPr>
          <w:rFonts w:ascii="Garamond" w:cs="Garamond" w:eastAsia="Garamond" w:hAnsi="Garamond"/>
          <w:sz w:val="28"/>
          <w:szCs w:val="28"/>
        </w:rPr>
      </w:pPr>
      <w:r w:rsidDel="00000000" w:rsidR="00000000" w:rsidRPr="00000000">
        <w:rPr>
          <w:rFonts w:ascii="Arial" w:cs="Arial" w:eastAsia="Arial" w:hAnsi="Arial"/>
          <w:sz w:val="20"/>
          <w:szCs w:val="20"/>
          <w:rtl w:val="0"/>
        </w:rPr>
        <w:t xml:space="preserve">Correspondent: </w:t>
      </w:r>
      <w:hyperlink r:id="rId7">
        <w:r w:rsidDel="00000000" w:rsidR="00000000" w:rsidRPr="00000000">
          <w:rPr>
            <w:rFonts w:ascii="Arial" w:cs="Arial" w:eastAsia="Arial" w:hAnsi="Arial"/>
            <w:color w:val="1155cc"/>
            <w:sz w:val="20"/>
            <w:szCs w:val="20"/>
            <w:u w:val="single"/>
            <w:rtl w:val="0"/>
          </w:rPr>
          <w:t xml:space="preserve">andiuceng@yahoo.com</w:t>
        </w:r>
      </w:hyperlink>
      <w:r w:rsidDel="00000000" w:rsidR="00000000" w:rsidRPr="00000000">
        <w:rPr>
          <w:rFonts w:ascii="Arial" w:cs="Arial" w:eastAsia="Arial" w:hAnsi="Arial"/>
          <w:sz w:val="20"/>
          <w:szCs w:val="20"/>
          <w:rtl w:val="0"/>
        </w:rPr>
        <w:t xml:space="preserve">1</w:t>
      </w:r>
      <w:r w:rsidDel="00000000" w:rsidR="00000000" w:rsidRPr="00000000">
        <w:rPr>
          <w:rtl w:val="0"/>
        </w:rPr>
      </w:r>
    </w:p>
    <w:tbl>
      <w:tblPr>
        <w:tblStyle w:val="Table1"/>
        <w:tblW w:w="9214.0" w:type="dxa"/>
        <w:jc w:val="left"/>
        <w:tblBorders>
          <w:top w:color="7f7f7f" w:space="0" w:sz="4" w:val="single"/>
          <w:bottom w:color="7f7f7f" w:space="0" w:sz="4" w:val="single"/>
        </w:tblBorders>
        <w:tblLayout w:type="fixed"/>
        <w:tblLook w:val="04A0"/>
      </w:tblPr>
      <w:tblGrid>
        <w:gridCol w:w="3828"/>
        <w:gridCol w:w="5386"/>
        <w:tblGridChange w:id="0">
          <w:tblGrid>
            <w:gridCol w:w="3828"/>
            <w:gridCol w:w="5386"/>
          </w:tblGrid>
        </w:tblGridChange>
      </w:tblGrid>
      <w:tr>
        <w:trPr>
          <w:cantSplit w:val="0"/>
          <w:tblHeader w:val="0"/>
        </w:trPr>
        <w:tc>
          <w:tcPr/>
          <w:p w:rsidR="00000000" w:rsidDel="00000000" w:rsidP="00000000" w:rsidRDefault="00000000" w:rsidRPr="00000000" w14:paraId="00000006">
            <w:pPr>
              <w:pStyle w:val="Heading1"/>
              <w:tabs>
                <w:tab w:val="left" w:leader="none" w:pos="1029"/>
                <w:tab w:val="left" w:leader="none" w:pos="5025"/>
              </w:tabs>
              <w:spacing w:before="120" w:lineRule="auto"/>
              <w:rPr>
                <w:rFonts w:ascii="Garamond" w:cs="Garamond" w:eastAsia="Garamond" w:hAnsi="Garamond"/>
                <w:color w:val="000000"/>
                <w:sz w:val="20"/>
                <w:szCs w:val="20"/>
                <w:highlight w:val="yellow"/>
              </w:rPr>
            </w:pPr>
            <w:bookmarkStart w:colFirst="0" w:colLast="0" w:name="_heading=h.b3yy6hybbs8z" w:id="0"/>
            <w:bookmarkEnd w:id="0"/>
            <w:r w:rsidDel="00000000" w:rsidR="00000000" w:rsidRPr="00000000">
              <w:rPr>
                <w:rFonts w:ascii="Garamond" w:cs="Garamond" w:eastAsia="Garamond" w:hAnsi="Garamond"/>
                <w:b w:val="0"/>
                <w:color w:val="000000"/>
                <w:sz w:val="20"/>
                <w:szCs w:val="20"/>
                <w:highlight w:val="yellow"/>
                <w:rtl w:val="0"/>
              </w:rPr>
              <w:t xml:space="preserve">Received</w:t>
              <w:tab/>
              <w:t xml:space="preserve">: June 15, 2023</w:t>
            </w:r>
            <w:r w:rsidDel="00000000" w:rsidR="00000000" w:rsidRPr="00000000">
              <w:rPr>
                <w:rtl w:val="0"/>
              </w:rPr>
            </w:r>
          </w:p>
          <w:p w:rsidR="00000000" w:rsidDel="00000000" w:rsidP="00000000" w:rsidRDefault="00000000" w:rsidRPr="00000000" w14:paraId="00000007">
            <w:pPr>
              <w:pStyle w:val="Heading1"/>
              <w:tabs>
                <w:tab w:val="left" w:leader="none" w:pos="1029"/>
                <w:tab w:val="left" w:leader="none" w:pos="5025"/>
              </w:tabs>
              <w:spacing w:before="120" w:lineRule="auto"/>
              <w:rPr>
                <w:rFonts w:ascii="Garamond" w:cs="Garamond" w:eastAsia="Garamond" w:hAnsi="Garamond"/>
                <w:color w:val="000000"/>
                <w:sz w:val="20"/>
                <w:szCs w:val="20"/>
                <w:highlight w:val="yellow"/>
              </w:rPr>
            </w:pPr>
            <w:r w:rsidDel="00000000" w:rsidR="00000000" w:rsidRPr="00000000">
              <w:rPr>
                <w:rFonts w:ascii="Garamond" w:cs="Garamond" w:eastAsia="Garamond" w:hAnsi="Garamond"/>
                <w:b w:val="0"/>
                <w:color w:val="000000"/>
                <w:sz w:val="20"/>
                <w:szCs w:val="20"/>
                <w:highlight w:val="yellow"/>
                <w:rtl w:val="0"/>
              </w:rPr>
              <w:t xml:space="preserve">Accepted</w:t>
              <w:tab/>
              <w:t xml:space="preserve">: August 12, 2023</w:t>
            </w:r>
            <w:r w:rsidDel="00000000" w:rsidR="00000000" w:rsidRPr="00000000">
              <w:rPr>
                <w:rtl w:val="0"/>
              </w:rPr>
            </w:r>
          </w:p>
          <w:p w:rsidR="00000000" w:rsidDel="00000000" w:rsidP="00000000" w:rsidRDefault="00000000" w:rsidRPr="00000000" w14:paraId="00000008">
            <w:pPr>
              <w:pStyle w:val="Heading1"/>
              <w:tabs>
                <w:tab w:val="left" w:leader="none" w:pos="1029"/>
                <w:tab w:val="left" w:leader="none" w:pos="5025"/>
              </w:tabs>
              <w:spacing w:before="120" w:lineRule="auto"/>
              <w:rPr>
                <w:rFonts w:ascii="Garamond" w:cs="Garamond" w:eastAsia="Garamond" w:hAnsi="Garamond"/>
                <w:b w:val="0"/>
                <w:color w:val="000000"/>
                <w:sz w:val="20"/>
                <w:szCs w:val="20"/>
                <w:highlight w:val="yellow"/>
              </w:rPr>
            </w:pPr>
            <w:r w:rsidDel="00000000" w:rsidR="00000000" w:rsidRPr="00000000">
              <w:rPr>
                <w:rFonts w:ascii="Garamond" w:cs="Garamond" w:eastAsia="Garamond" w:hAnsi="Garamond"/>
                <w:b w:val="0"/>
                <w:color w:val="000000"/>
                <w:sz w:val="20"/>
                <w:szCs w:val="20"/>
                <w:highlight w:val="yellow"/>
                <w:rtl w:val="0"/>
              </w:rPr>
              <w:t xml:space="preserve">Published</w:t>
              <w:tab/>
              <w:t xml:space="preserve">: August 31, 2023</w:t>
            </w:r>
          </w:p>
          <w:p w:rsidR="00000000" w:rsidDel="00000000" w:rsidP="00000000" w:rsidRDefault="00000000" w:rsidRPr="00000000" w14:paraId="00000009">
            <w:pPr>
              <w:pStyle w:val="Heading1"/>
              <w:tabs>
                <w:tab w:val="left" w:leader="none" w:pos="5025"/>
              </w:tabs>
              <w:spacing w:before="120" w:lineRule="auto"/>
              <w:rPr>
                <w:rFonts w:ascii="Garamond" w:cs="Garamond" w:eastAsia="Garamond" w:hAnsi="Garamond"/>
                <w:color w:val="000000"/>
                <w:sz w:val="20"/>
                <w:szCs w:val="20"/>
                <w:highlight w:val="yellow"/>
              </w:rPr>
            </w:pPr>
            <w:r w:rsidDel="00000000" w:rsidR="00000000" w:rsidRPr="00000000">
              <w:rPr>
                <w:rtl w:val="0"/>
              </w:rPr>
            </w:r>
          </w:p>
          <w:p w:rsidR="00000000" w:rsidDel="00000000" w:rsidP="00000000" w:rsidRDefault="00000000" w:rsidRPr="00000000" w14:paraId="0000000A">
            <w:pPr>
              <w:pStyle w:val="Heading1"/>
              <w:tabs>
                <w:tab w:val="left" w:leader="none" w:pos="5025"/>
              </w:tabs>
              <w:spacing w:before="120" w:lineRule="auto"/>
              <w:rPr>
                <w:rFonts w:ascii="Garamond" w:cs="Garamond" w:eastAsia="Garamond" w:hAnsi="Garamond"/>
                <w:color w:val="000000"/>
                <w:sz w:val="20"/>
                <w:szCs w:val="20"/>
                <w:highlight w:val="yellow"/>
              </w:rPr>
            </w:pPr>
            <w:r w:rsidDel="00000000" w:rsidR="00000000" w:rsidRPr="00000000">
              <w:rPr>
                <w:rtl w:val="0"/>
              </w:rPr>
            </w:r>
          </w:p>
          <w:p w:rsidR="00000000" w:rsidDel="00000000" w:rsidP="00000000" w:rsidRDefault="00000000" w:rsidRPr="00000000" w14:paraId="0000000B">
            <w:pPr>
              <w:rPr>
                <w:rFonts w:ascii="Garamond" w:cs="Garamond" w:eastAsia="Garamond" w:hAnsi="Garamond"/>
                <w:b w:val="0"/>
                <w:highlight w:val="yellow"/>
              </w:rPr>
            </w:pPr>
            <w:r w:rsidDel="00000000" w:rsidR="00000000" w:rsidRPr="00000000">
              <w:rPr>
                <w:rtl w:val="0"/>
              </w:rPr>
            </w:r>
          </w:p>
          <w:p w:rsidR="00000000" w:rsidDel="00000000" w:rsidP="00000000" w:rsidRDefault="00000000" w:rsidRPr="00000000" w14:paraId="0000000C">
            <w:pPr>
              <w:rPr>
                <w:rFonts w:ascii="Garamond" w:cs="Garamond" w:eastAsia="Garamond" w:hAnsi="Garamond"/>
                <w:highlight w:val="yellow"/>
              </w:rPr>
            </w:pPr>
            <w:r w:rsidDel="00000000" w:rsidR="00000000" w:rsidRPr="00000000">
              <w:rPr>
                <w:rtl w:val="0"/>
              </w:rPr>
            </w:r>
          </w:p>
          <w:p w:rsidR="00000000" w:rsidDel="00000000" w:rsidP="00000000" w:rsidRDefault="00000000" w:rsidRPr="00000000" w14:paraId="0000000D">
            <w:pPr>
              <w:pStyle w:val="Heading1"/>
              <w:tabs>
                <w:tab w:val="left" w:leader="none" w:pos="5025"/>
              </w:tabs>
              <w:spacing w:before="120" w:lineRule="auto"/>
              <w:jc w:val="both"/>
              <w:rPr>
                <w:rFonts w:ascii="Garamond" w:cs="Garamond" w:eastAsia="Garamond" w:hAnsi="Garamond"/>
                <w:color w:val="000000"/>
                <w:sz w:val="20"/>
                <w:szCs w:val="20"/>
              </w:rPr>
            </w:pPr>
            <w:r w:rsidDel="00000000" w:rsidR="00000000" w:rsidRPr="00000000">
              <w:rPr>
                <w:rFonts w:ascii="Garamond" w:cs="Garamond" w:eastAsia="Garamond" w:hAnsi="Garamond"/>
                <w:b w:val="0"/>
                <w:color w:val="000000"/>
                <w:sz w:val="20"/>
                <w:szCs w:val="20"/>
                <w:highlight w:val="yellow"/>
                <w:rtl w:val="0"/>
              </w:rPr>
              <w:t xml:space="preserve">Citation: Mohammad, W. (2023). The Role of AI Waifu Characters in Supporting Weaboos with Post-Traumatic Relationship Syndrome (PTRS). </w:t>
            </w:r>
            <w:r w:rsidDel="00000000" w:rsidR="00000000" w:rsidRPr="00000000">
              <w:rPr>
                <w:rFonts w:ascii="Garamond" w:cs="Garamond" w:eastAsia="Garamond" w:hAnsi="Garamond"/>
                <w:b w:val="0"/>
                <w:color w:val="000000"/>
                <w:sz w:val="20"/>
                <w:szCs w:val="20"/>
                <w:rtl w:val="0"/>
              </w:rPr>
              <w:t xml:space="preserve">Data : Journal of Information Systems and Management</w:t>
            </w:r>
            <w:r w:rsidDel="00000000" w:rsidR="00000000" w:rsidRPr="00000000">
              <w:rPr>
                <w:rFonts w:ascii="Garamond" w:cs="Garamond" w:eastAsia="Garamond" w:hAnsi="Garamond"/>
                <w:b w:val="0"/>
                <w:color w:val="000000"/>
                <w:sz w:val="20"/>
                <w:szCs w:val="20"/>
                <w:highlight w:val="yellow"/>
                <w:rtl w:val="0"/>
              </w:rPr>
              <w:t xml:space="preserve">, 1(2), 77-96.</w:t>
            </w:r>
            <w:r w:rsidDel="00000000" w:rsidR="00000000" w:rsidRPr="00000000">
              <w:rPr>
                <w:rFonts w:ascii="Garamond" w:cs="Garamond" w:eastAsia="Garamond" w:hAnsi="Garamond"/>
                <w:b w:val="0"/>
                <w:color w:val="000000"/>
                <w:sz w:val="20"/>
                <w:szCs w:val="20"/>
                <w:rtl w:val="0"/>
              </w:rPr>
              <w:t xml:space="preserve"> </w:t>
            </w:r>
            <w:r w:rsidDel="00000000" w:rsidR="00000000" w:rsidRPr="00000000">
              <w:rPr>
                <w:rtl w:val="0"/>
              </w:rPr>
            </w:r>
          </w:p>
        </w:tc>
        <w:tc>
          <w:tcPr/>
          <w:p w:rsidR="00000000" w:rsidDel="00000000" w:rsidP="00000000" w:rsidRDefault="00000000" w:rsidRPr="00000000" w14:paraId="0000000E">
            <w:pPr>
              <w:pStyle w:val="Heading1"/>
              <w:tabs>
                <w:tab w:val="left" w:leader="none" w:pos="5025"/>
              </w:tabs>
              <w:spacing w:before="120" w:lineRule="auto"/>
              <w:jc w:val="both"/>
              <w:rPr>
                <w:rFonts w:ascii="Garamond" w:cs="Garamond" w:eastAsia="Garamond" w:hAnsi="Garamond"/>
                <w:b w:val="0"/>
                <w:color w:val="000000"/>
                <w:sz w:val="22"/>
                <w:szCs w:val="22"/>
                <w:highlight w:val="white"/>
              </w:rPr>
            </w:pPr>
            <w:r w:rsidDel="00000000" w:rsidR="00000000" w:rsidRPr="00000000">
              <w:rPr>
                <w:rFonts w:ascii="Garamond" w:cs="Garamond" w:eastAsia="Garamond" w:hAnsi="Garamond"/>
                <w:color w:val="000000"/>
                <w:sz w:val="22"/>
                <w:szCs w:val="22"/>
                <w:rtl w:val="0"/>
              </w:rPr>
              <w:t xml:space="preserve">ABSTRACT:</w:t>
            </w:r>
            <w:r w:rsidDel="00000000" w:rsidR="00000000" w:rsidRPr="00000000">
              <w:rPr>
                <w:rFonts w:ascii="Garamond" w:cs="Garamond" w:eastAsia="Garamond" w:hAnsi="Garamond"/>
                <w:b w:val="0"/>
                <w:color w:val="000000"/>
                <w:sz w:val="22"/>
                <w:szCs w:val="22"/>
                <w:highlight w:val="white"/>
                <w:rtl w:val="0"/>
              </w:rPr>
              <w:t xml:space="preserve"> The rapid digitalization of Indonesia's economy has amplified concerns over deceptive interface designs known as dark patterns. These manipulative practices undermine user autonomy and raise legal and ethical questions. This study aims to provide experimental evidence specific to the Indonesian context, examining how four prevalent dark patterns urgency cues, drip pricing, consent manipulation, and fake social proof affect user trust, decision quality, and fairness perception within local e-commerce and fintech platforms. A between subjects experiment involving 300 participants was conducted using simulated Indonesian e commerce and fintech platforms. Participants were randomly assigned to one of five interface conditions: urgency, drip pricing, consent manipulation, fake social proof, or a neutral control. Behavioral metrics such as trust, regret, choice quality, and opt in rates were measured. Digital literacy was assessed as a moderating variable. All dark pattern treatments significantly reduced user trust and increased post decision regret compared to the control group. Drip pricing produced the highest regret and lowest fairness perception, while consent manipulation yielded inflated opt in rates. Low digital literacy was associated with greater susceptibility to deception and lower detection rates. These findings align with global behavioral research and highlight the vulnerability of digitally inexperienced users. Regulatory gaps were noted in Indonesia’s legal frameworks, which currently lack operational tools for addressing interface level manipulation. Dark patterns negatively impact consumer decision making and disproportionately affect vulnerable populations. Legal frameworks must evolve to explicitly define and penalize such designs. Promoting ethical UI practices and enhancing digital literacy are essential to safeguarding consumer rights and trust in Indonesia's digital economy. </w:t>
            </w:r>
          </w:p>
          <w:p w:rsidR="00000000" w:rsidDel="00000000" w:rsidP="00000000" w:rsidRDefault="00000000" w:rsidRPr="00000000" w14:paraId="0000000F">
            <w:pPr>
              <w:rPr>
                <w:rFonts w:ascii="Garamond" w:cs="Garamond" w:eastAsia="Garamond" w:hAnsi="Garamond"/>
                <w:b w:val="0"/>
              </w:rPr>
            </w:pPr>
            <w:r w:rsidDel="00000000" w:rsidR="00000000" w:rsidRPr="00000000">
              <w:rPr>
                <w:rtl w:val="0"/>
              </w:rPr>
            </w:r>
          </w:p>
          <w:p w:rsidR="00000000" w:rsidDel="00000000" w:rsidP="00000000" w:rsidRDefault="00000000" w:rsidRPr="00000000" w14:paraId="00000010">
            <w:pPr>
              <w:jc w:val="both"/>
              <w:rPr>
                <w:rFonts w:ascii="Garamond" w:cs="Garamond" w:eastAsia="Garamond" w:hAnsi="Garamond"/>
              </w:rPr>
            </w:pPr>
            <w:r w:rsidDel="00000000" w:rsidR="00000000" w:rsidRPr="00000000">
              <w:rPr>
                <w:rFonts w:ascii="Garamond" w:cs="Garamond" w:eastAsia="Garamond" w:hAnsi="Garamond"/>
                <w:rtl w:val="0"/>
              </w:rPr>
              <w:t xml:space="preserve">Keywords: </w:t>
            </w:r>
            <w:r w:rsidDel="00000000" w:rsidR="00000000" w:rsidRPr="00000000">
              <w:rPr>
                <w:rFonts w:ascii="Garamond" w:cs="Garamond" w:eastAsia="Garamond" w:hAnsi="Garamond"/>
                <w:b w:val="0"/>
                <w:rtl w:val="0"/>
              </w:rPr>
              <w:t xml:space="preserve"> Dark Patterns; Deceptive Design; Consumer Protection; Digital Literacy; Interface Ethics; Behavioral Experiment; Indonesia.</w:t>
            </w:r>
            <w:r w:rsidDel="00000000" w:rsidR="00000000" w:rsidRPr="00000000">
              <w:rPr>
                <w:rtl w:val="0"/>
              </w:rPr>
            </w:r>
          </w:p>
        </w:tc>
      </w:tr>
      <w:tr>
        <w:trPr>
          <w:cantSplit w:val="0"/>
          <w:tblHeader w:val="0"/>
        </w:trPr>
        <w:tc>
          <w:tcPr>
            <w:tcBorders>
              <w:right w:color="000000" w:space="0" w:sz="4" w:val="single"/>
            </w:tcBorders>
          </w:tcPr>
          <w:p w:rsidR="00000000" w:rsidDel="00000000" w:rsidP="00000000" w:rsidRDefault="00000000" w:rsidRPr="00000000" w14:paraId="00000011">
            <w:pPr>
              <w:pStyle w:val="Heading1"/>
              <w:tabs>
                <w:tab w:val="left" w:leader="none" w:pos="5025"/>
              </w:tabs>
              <w:spacing w:after="120" w:before="120" w:lineRule="auto"/>
              <w:jc w:val="both"/>
              <w:rPr>
                <w:rFonts w:ascii="Garamond" w:cs="Garamond" w:eastAsia="Garamond" w:hAnsi="Garamond"/>
                <w:b w:val="0"/>
                <w:color w:val="000000"/>
                <w:sz w:val="20"/>
                <w:szCs w:val="20"/>
              </w:rPr>
            </w:pPr>
            <w:r w:rsidDel="00000000" w:rsidR="00000000" w:rsidRPr="00000000">
              <w:rPr>
                <w:rtl w:val="0"/>
              </w:rPr>
            </w:r>
          </w:p>
        </w:tc>
        <w:tc>
          <w:tcPr>
            <w:tcBorders>
              <w:left w:color="000000" w:space="0" w:sz="4" w:val="single"/>
            </w:tcBorders>
          </w:tcPr>
          <w:p w:rsidR="00000000" w:rsidDel="00000000" w:rsidP="00000000" w:rsidRDefault="00000000" w:rsidRPr="00000000" w14:paraId="00000012">
            <w:pPr>
              <w:pStyle w:val="Heading1"/>
              <w:tabs>
                <w:tab w:val="left" w:leader="none" w:pos="5025"/>
              </w:tabs>
              <w:spacing w:before="0" w:lineRule="auto"/>
              <w:jc w:val="both"/>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This is an open access article under the </w:t>
            </w:r>
            <w:r w:rsidDel="00000000" w:rsidR="00000000" w:rsidRPr="00000000">
              <w:drawing>
                <wp:anchor allowOverlap="1" behindDoc="0" distB="0" distT="0" distL="114300" distR="114300" hidden="0" layoutInCell="1" locked="0" relativeHeight="0" simplePos="0">
                  <wp:simplePos x="0" y="0"/>
                  <wp:positionH relativeFrom="column">
                    <wp:posOffset>-3809</wp:posOffset>
                  </wp:positionH>
                  <wp:positionV relativeFrom="paragraph">
                    <wp:posOffset>21590</wp:posOffset>
                  </wp:positionV>
                  <wp:extent cx="723900" cy="286951"/>
                  <wp:effectExtent b="0" l="0" r="0" t="0"/>
                  <wp:wrapSquare wrapText="bothSides" distB="0" distT="0" distL="114300" distR="114300"/>
                  <wp:docPr id="2108589430"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723900" cy="286951"/>
                          </a:xfrm>
                          <a:prstGeom prst="rect"/>
                          <a:ln/>
                        </pic:spPr>
                      </pic:pic>
                    </a:graphicData>
                  </a:graphic>
                </wp:anchor>
              </w:drawing>
            </w:r>
          </w:p>
          <w:p w:rsidR="00000000" w:rsidDel="00000000" w:rsidP="00000000" w:rsidRDefault="00000000" w:rsidRPr="00000000" w14:paraId="00000013">
            <w:pPr>
              <w:rPr>
                <w:rFonts w:ascii="Garamond" w:cs="Garamond" w:eastAsia="Garamond" w:hAnsi="Garamond"/>
              </w:rPr>
            </w:pPr>
            <w:r w:rsidDel="00000000" w:rsidR="00000000" w:rsidRPr="00000000">
              <w:rPr>
                <w:rFonts w:ascii="Garamond" w:cs="Garamond" w:eastAsia="Garamond" w:hAnsi="Garamond"/>
                <w:rtl w:val="0"/>
              </w:rPr>
              <w:t xml:space="preserve">CC-BY 4.0 license</w:t>
            </w:r>
          </w:p>
        </w:tc>
      </w:tr>
    </w:tbl>
    <w:p w:rsidR="00000000" w:rsidDel="00000000" w:rsidP="00000000" w:rsidRDefault="00000000" w:rsidRPr="00000000" w14:paraId="00000014">
      <w:pPr>
        <w:pStyle w:val="Heading1"/>
        <w:tabs>
          <w:tab w:val="left" w:leader="none" w:pos="5025"/>
        </w:tabs>
        <w:spacing w:after="120" w:before="0" w:line="276" w:lineRule="auto"/>
        <w:rPr>
          <w:rFonts w:ascii="Garamond" w:cs="Garamond" w:eastAsia="Garamond" w:hAnsi="Garamond"/>
          <w:b w:val="1"/>
          <w:color w:val="000000"/>
          <w:sz w:val="24"/>
          <w:szCs w:val="24"/>
        </w:rPr>
      </w:pPr>
      <w:r w:rsidDel="00000000" w:rsidR="00000000" w:rsidRPr="00000000">
        <w:rPr>
          <w:rtl w:val="0"/>
        </w:rPr>
      </w:r>
    </w:p>
    <w:p w:rsidR="00000000" w:rsidDel="00000000" w:rsidP="00000000" w:rsidRDefault="00000000" w:rsidRPr="00000000" w14:paraId="00000015">
      <w:pPr>
        <w:pStyle w:val="Heading1"/>
        <w:spacing w:after="120" w:before="0" w:line="276" w:lineRule="auto"/>
        <w:rPr>
          <w:rFonts w:ascii="Garamond" w:cs="Garamond" w:eastAsia="Garamond" w:hAnsi="Garamond"/>
          <w:b w:val="1"/>
          <w:color w:val="000000"/>
          <w:sz w:val="24"/>
          <w:szCs w:val="24"/>
        </w:rPr>
      </w:pPr>
      <w:r w:rsidDel="00000000" w:rsidR="00000000" w:rsidRPr="00000000">
        <w:rPr>
          <w:rFonts w:ascii="Garamond" w:cs="Garamond" w:eastAsia="Garamond" w:hAnsi="Garamond"/>
          <w:b w:val="1"/>
          <w:color w:val="000000"/>
          <w:sz w:val="24"/>
          <w:szCs w:val="24"/>
          <w:rtl w:val="0"/>
        </w:rPr>
        <w:t xml:space="preserve">INTRODUCTION</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76" w:lineRule="auto"/>
        <w:ind w:left="0" w:right="0" w:firstLine="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The rapid digitalization of Southeast Asia has ushered in transformative changes in commerce, finance, and public interaction, with Indonesia emerging as a major digital economy. This evolution has introduced both opportunities and challenges, particularly surrounding the ethics and legality of digital design practices. Among the most pressing concerns is the rise of "dark patterns" deceptive interface designs that manipulate users into making unintended or unfavorable decisions. These include tactics that nudge users toward sharing personal information, subscribing to hidden fees, or missing cancellation windows. In Indonesia, these concerns are amplified by uneven levels of digital literacy and limited enforcement of digital consumer protections (Arifin et al., 2021; Kharisma, 2020).</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76" w:lineRule="auto"/>
        <w:ind w:left="0" w:right="0" w:firstLine="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Dark patterns have become widespread across Indonesian fintech, e-commerce, and mobile platforms. Their frequent presence raises ethical questions about user autonomy, consent, and platform responsibility. While these patterns are often obscured behind persuasive user experience (UX) strategies, their impact on consumer behavior and welfare is substantial. Research has highlighted increased regret, reduced trust, and lower choice quality among users exposed to these designs(Santoso &amp; Marlinah, 2024).</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76" w:lineRule="auto"/>
        <w:ind w:left="0" w:right="0" w:firstLine="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Regulatory responses in Indonesia have attempted to address these concerns through a combination of existing legal frameworks. The Consumer Protection Law (Law No. 8 of 1999) outlines basic rights, including the right to accurate information and freedom from manipulation (Andikatama &amp; Turisno, 2024). Complementary regulations, such as the Personal Data Protection Law (UU PDP 27/2022) and POJK 22/2023, target specific domains like data privacy and financial service transparency. Yet, while these frameworks form a foundational legal structure, enforcement mechanisms, particularly regarding interface level manipulation, remain inadequate (Matnuh, 2021; Syamsudin, 2020).</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76" w:lineRule="auto"/>
        <w:ind w:left="0" w:right="0" w:firstLine="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Globally, concerns about persuasive design have catalyzed debates over the ethical boundaries of UX. Developers and policymakers wrestle with the fine line between nudging and manipulation. Studies in legal informatics and HCI ethics underscore the need for stricter guidelines to curb deceptive practices while safeguarding innovation (Hati &amp; Latip, 2023; Trzaskowski, 2024). Ethical imperatives call for user centered design that respects agency, transparency, and fairness, which are frequently compromised by dark patterns (Prabowo &amp; Sulistianingsih, 2023).</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76" w:lineRule="auto"/>
        <w:ind w:left="0" w:right="0" w:firstLine="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Indonesia's fintech and e commerce sectors have demonstrated diverse implementations of dark patterns. Countdown timers, hidden fees, auto renewal defaults, and unclear cancellation paths are recurring features. These design choices, although often legally ambiguous, effectively impair user autonomy and increase the likelihood of consent under duress(Prastyanti et al., 2021; Rongiyati, 2019). Moreover, manipulative visual hierarchies and pre checked consent options further complicate users' ability to make informed choices.</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76" w:lineRule="auto"/>
        <w:ind w:left="0" w:right="0" w:firstLine="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The capacity to detect and resist these manipulative strategies is unevenly distributed among consumers. Digital literacy the ability to understand, evaluate, and act on digital content plays a pivotal role in moderating the effects of dark patterns. Research shows that highly literate users are more adept at identifying deceptive cues and are thus less susceptible to manipulation (Ramadhan et al., 2024). Conversely, low literate users experience greater regret and confusion, reflecting a systemic vulnerability exacerbated by limited access to digital education and resources (Andikatama &amp; Turisno, 2024).</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76" w:lineRule="auto"/>
        <w:ind w:left="0" w:right="0" w:firstLine="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Empirical research has further revealed complex psychological and behavioral responses to deceptive design. Users subjected to dark patterns often report emotional discomfort, decreased platform loyalty, and attempts to resist or reverse decisions post interaction. Studies have demonstrated how even when users develop coping strategies, the manipulative designs continue to influence choices, highlighting the persistent imbalance in digital power dynamics (Mupangavanhu &amp; Kerchhoff, 2023).</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76" w:lineRule="auto"/>
        <w:ind w:left="0" w:right="0" w:firstLine="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These challenges call for an urgent reevaluation of design standards and regulatory frameworks. While legal instruments provide a starting point, they must evolve to incorporate interface level audits, stronger sanctions, and adaptive literacy programs. Ethical UX design, informed by behavioral science and grounded in local user realities, is essential to ensure digital environments that support not undermine consumer agency.</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76" w:lineRule="auto"/>
        <w:ind w:left="0" w:right="0" w:firstLine="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This study aims to bridge the empirical gap in Indonesian research by experimenting with dark pattern exposures in a controlled environment. It examines how urgency cues, hidden pricing, manipulative consent, and fake testimonials affect trust, perceived fairness, and user regret. The study also evaluates how digital literacy moderates these outcomes, contributing both to academic discourse and regulatory development on ethical digital design in Indonesia.</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76" w:lineRule="auto"/>
        <w:ind w:left="0" w:right="0" w:firstLine="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0">
      <w:pPr>
        <w:spacing w:line="276" w:lineRule="auto"/>
        <w:rPr>
          <w:rFonts w:ascii="Garamond" w:cs="Garamond" w:eastAsia="Garamond" w:hAnsi="Garamond"/>
          <w:b w:val="1"/>
          <w:sz w:val="24"/>
          <w:szCs w:val="24"/>
        </w:rPr>
      </w:pPr>
      <w:r w:rsidDel="00000000" w:rsidR="00000000" w:rsidRPr="00000000">
        <w:rPr>
          <w:rFonts w:ascii="Garamond" w:cs="Garamond" w:eastAsia="Garamond" w:hAnsi="Garamond"/>
          <w:b w:val="1"/>
          <w:sz w:val="24"/>
          <w:szCs w:val="24"/>
          <w:rtl w:val="0"/>
        </w:rPr>
        <w:t xml:space="preserve">METHOD</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76" w:lineRule="auto"/>
        <w:ind w:left="0" w:right="0" w:firstLine="0"/>
        <w:jc w:val="left"/>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This study employed a controlled between subjects experimental design to assess the behavioral effects of dark patterns on Indonesian consumers within simulated digital interfaces. The experiment was conducted entirely online, using a web based platform that mimicked the user experience of e commerce and fintech applications. The methodology reflects established approaches in human computer interaction (HCI) research, where manipulative design elements are evaluated for their influence on trust, fairness, and decision making (Patrada &amp; Andajani, 2021).</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76" w:lineRule="auto"/>
        <w:ind w:left="0" w:right="0" w:firstLine="0"/>
        <w:jc w:val="left"/>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2.1 Experimental Design and Participants</w:t>
      </w: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76" w:lineRule="auto"/>
        <w:ind w:left="0" w:right="0" w:firstLine="0"/>
        <w:jc w:val="left"/>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 total of 300 participants were recruited across diverse demographic backgrounds, stratified by age, gender, and digital literacy level. Participants were randomly assigned to one of five conditions: four experimental groups representing specific dark patterns (urgency, drip pricing, consent manipulation, and social proof), and a control group with a neutral interface. Each group interacted with a simulated online transaction scenario, with embedded design elements tailored to their assigned condition.</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76" w:lineRule="auto"/>
        <w:ind w:left="0" w:right="0" w:firstLine="0"/>
        <w:jc w:val="left"/>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The experimental stimuli consisted of screenshots and clickable prototypes based on realistic UI components drawn from Indonesian e commerce and fintech platforms. These were developed to reflect the legal and ethical gray zones identified in national regulations (UU PDP, POJK 22/2023) and to mirror manipulative designs documented in previous Indonesian research(Hati &amp; Latip, 2023).</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76" w:lineRule="auto"/>
        <w:ind w:left="0" w:right="0" w:firstLine="0"/>
        <w:jc w:val="left"/>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2.2 Simulated Interface Construction</w:t>
      </w: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76" w:lineRule="auto"/>
        <w:ind w:left="0" w:right="0" w:firstLine="0"/>
        <w:jc w:val="left"/>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Each treatment scenario was designed to mirror realistic user experiences. For urgency, a false countdown timer was implemented. For drip pricing, an undisclosed service fee was introduced at the final checkout step. In the consent design treatment, users encountered a pre checked data sharing box with confirmshaming text. The social proof condition presented fabricated testimonials labeled as verified. These simulations followed design protocols established in immersive behavioral testing, incorporating contextual realism and user tasks such as product selection, checkout, and consent management (Mackey et al., 2024).</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76" w:lineRule="auto"/>
        <w:ind w:left="0" w:right="0" w:firstLine="0"/>
        <w:jc w:val="left"/>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To ensure ecological validity, the environment incorporated localized language, currency, and product categories common to Indonesian consumers. Visual cues, button hierarchies, and wording were modeled on frequently used platforms to enhance engagement and replicate real world interaction (Agus &amp; Taufik, 2017).</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76" w:lineRule="auto"/>
        <w:ind w:left="0" w:right="0" w:firstLine="0"/>
        <w:jc w:val="left"/>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2.3 Measures and Instruments</w:t>
      </w: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76" w:lineRule="auto"/>
        <w:ind w:left="0" w:right="0" w:firstLine="0"/>
        <w:jc w:val="left"/>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The study employed a multi dimensional measurement framework to evaluate behavioral outcomes:</w:t>
      </w:r>
    </w:p>
    <w:p w:rsidR="00000000" w:rsidDel="00000000" w:rsidP="00000000" w:rsidRDefault="00000000" w:rsidRPr="00000000" w14:paraId="0000002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280" w:line="276" w:lineRule="auto"/>
        <w:ind w:left="720" w:right="0" w:hanging="360"/>
        <w:jc w:val="left"/>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Trust was assessed using a modified version of the Online Trust Scale, gauging participants’ confidence in the platform’s integrity and perceived reliability (Dewi et al., 2024).</w:t>
      </w:r>
    </w:p>
    <w:p w:rsidR="00000000" w:rsidDel="00000000" w:rsidP="00000000" w:rsidRDefault="00000000" w:rsidRPr="00000000" w14:paraId="0000002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Perceived Fairness was measured using Likert scale responses evaluating clarity of information, transparency of pricing, and overall fairness in interface design (Cho, 2017).</w:t>
      </w:r>
    </w:p>
    <w:p w:rsidR="00000000" w:rsidDel="00000000" w:rsidP="00000000" w:rsidRDefault="00000000" w:rsidRPr="00000000" w14:paraId="0000002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Decision Quality was operationalized through three metrics: (1) decision accuracy (selecting the most cost efficient product), (2) choice satisfaction (post choice confidence), and (3) perceived overload (cognitive difficulty in making a selection) (Zhang et al., 2019).</w:t>
      </w:r>
    </w:p>
    <w:p w:rsidR="00000000" w:rsidDel="00000000" w:rsidP="00000000" w:rsidRDefault="00000000" w:rsidRPr="00000000" w14:paraId="0000002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Opt in Behavior was tracked in the consent condition to record how many users accepted default data sharing settings.</w:t>
      </w:r>
    </w:p>
    <w:p w:rsidR="00000000" w:rsidDel="00000000" w:rsidP="00000000" w:rsidRDefault="00000000" w:rsidRPr="00000000" w14:paraId="0000002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80" w:before="0" w:line="276" w:lineRule="auto"/>
        <w:ind w:left="720" w:right="0" w:hanging="360"/>
        <w:jc w:val="left"/>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Regret was measured post decision through self reported feedback indicating dissatisfaction or second thoughts about the choice.</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76" w:lineRule="auto"/>
        <w:ind w:left="0" w:right="0" w:firstLine="0"/>
        <w:jc w:val="left"/>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All responses were collected via embedded survey instruments following each interaction sequence. The survey was conducted in Bahasa Indonesia, ensuring cultural and linguistic alignment. Ethical clearance was secured through institutional review protocols.</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76" w:lineRule="auto"/>
        <w:ind w:left="0" w:right="0" w:firstLine="0"/>
        <w:jc w:val="left"/>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76" w:lineRule="auto"/>
        <w:ind w:left="0" w:right="0" w:firstLine="0"/>
        <w:jc w:val="left"/>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2.4 Data Analysis</w:t>
      </w:r>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76" w:lineRule="auto"/>
        <w:ind w:left="0" w:right="0" w:firstLine="0"/>
        <w:jc w:val="left"/>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Quantitative data were analyzed using ANOVA to detect between group differences, followed by regression analysis to explore the moderating role of digital literacy. Detection rates of manipulation were computed as a binary variable (yes/no) based on participant feedback. Behavioral patterns were compared across treatment conditions to examine differential impacts of each dark pattern variant.</w:t>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76" w:lineRule="auto"/>
        <w:ind w:left="0" w:right="0" w:firstLine="0"/>
        <w:jc w:val="left"/>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This methodology reflects best practices in experimental HCI and consumer behavior research, balancing ecological validity with methodological rigor to uncover actionable insights into the ethical and behavioral implications of manipulative digital design.</w:t>
      </w:r>
    </w:p>
    <w:p w:rsidR="00000000" w:rsidDel="00000000" w:rsidP="00000000" w:rsidRDefault="00000000" w:rsidRPr="00000000" w14:paraId="00000034">
      <w:pPr>
        <w:pStyle w:val="Heading1"/>
        <w:spacing w:after="240" w:before="0" w:line="276" w:lineRule="auto"/>
        <w:rPr>
          <w:rFonts w:ascii="Garamond" w:cs="Garamond" w:eastAsia="Garamond" w:hAnsi="Garamond"/>
          <w:b w:val="1"/>
          <w:color w:val="000000"/>
          <w:sz w:val="24"/>
          <w:szCs w:val="24"/>
        </w:rPr>
      </w:pPr>
      <w:r w:rsidDel="00000000" w:rsidR="00000000" w:rsidRPr="00000000">
        <w:rPr>
          <w:rtl w:val="0"/>
        </w:rPr>
      </w:r>
    </w:p>
    <w:p w:rsidR="00000000" w:rsidDel="00000000" w:rsidP="00000000" w:rsidRDefault="00000000" w:rsidRPr="00000000" w14:paraId="00000035">
      <w:pPr>
        <w:pStyle w:val="Heading1"/>
        <w:spacing w:after="240" w:before="0" w:line="276" w:lineRule="auto"/>
        <w:rPr>
          <w:rFonts w:ascii="Garamond" w:cs="Garamond" w:eastAsia="Garamond" w:hAnsi="Garamond"/>
          <w:b w:val="1"/>
          <w:color w:val="000000"/>
          <w:sz w:val="24"/>
          <w:szCs w:val="24"/>
        </w:rPr>
      </w:pPr>
      <w:r w:rsidDel="00000000" w:rsidR="00000000" w:rsidRPr="00000000">
        <w:rPr>
          <w:rFonts w:ascii="Garamond" w:cs="Garamond" w:eastAsia="Garamond" w:hAnsi="Garamond"/>
          <w:b w:val="1"/>
          <w:color w:val="000000"/>
          <w:sz w:val="24"/>
          <w:szCs w:val="24"/>
          <w:rtl w:val="0"/>
        </w:rPr>
        <w:t xml:space="preserve">RESULT AND DISCUSSION</w:t>
      </w:r>
    </w:p>
    <w:p w:rsidR="00000000" w:rsidDel="00000000" w:rsidP="00000000" w:rsidRDefault="00000000" w:rsidRPr="00000000" w14:paraId="00000036">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This chapter presents the empirical findings from the experimental study examining how various dark patterns impact Indonesian consumers in simulated digital environments. The analysis is structured into three sub sections: (1) the main effects of each pattern on trust, regret, opt in behavior, and decision quality; (2) the moderating role of digital literacy; and (3) behavioral and psychological outcomes.</w:t>
      </w:r>
    </w:p>
    <w:p w:rsidR="00000000" w:rsidDel="00000000" w:rsidP="00000000" w:rsidRDefault="00000000" w:rsidRPr="00000000" w14:paraId="00000037">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3.1 Main Effects of Dark Patterns</w:t>
      </w:r>
    </w:p>
    <w:p w:rsidR="00000000" w:rsidDel="00000000" w:rsidP="00000000" w:rsidRDefault="00000000" w:rsidRPr="00000000" w14:paraId="00000038">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Each treatment condition elicited distinct responses from users, confirming theoretical insights from global literature.</w:t>
      </w:r>
    </w:p>
    <w:p w:rsidR="00000000" w:rsidDel="00000000" w:rsidP="00000000" w:rsidRDefault="00000000" w:rsidRPr="00000000" w14:paraId="00000039">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Urgency and Scarcity: Participants exposed to urgency cues (fake countdown timers) demonstrated a statistically significant increase in impulse decision making. These results align with previous findings showing that urgency increases emotional arousal and fear of missing out, thereby elevating purchase intentions and reducing product scrutiny (Tromp et al., 2024).</w:t>
      </w:r>
    </w:p>
    <w:p w:rsidR="00000000" w:rsidDel="00000000" w:rsidP="00000000" w:rsidRDefault="00000000" w:rsidRPr="00000000" w14:paraId="0000003A">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Drip Pricing: Hidden fees led to heightened regret and reduced fairness perception. This mirrors research indicating that drip pricing distorts perceived value and triggers cognitive dissonance when total costs are revealed post commitment (Jamalifard et al., 2024).</w:t>
      </w:r>
    </w:p>
    <w:p w:rsidR="00000000" w:rsidDel="00000000" w:rsidP="00000000" w:rsidRDefault="00000000" w:rsidRPr="00000000" w14:paraId="0000003B">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Consent Design: Interfaces with pre checked boxes and unequal button sizes significantly raised opt in rates, indicating manipulation. The findings support theories on default bias and inertia, where users are more likely to accept pre selected options without deliberation (Cardoso et al., 2020; Luguri &amp; Strahilevitz, 2021).</w:t>
      </w:r>
    </w:p>
    <w:p w:rsidR="00000000" w:rsidDel="00000000" w:rsidP="00000000" w:rsidRDefault="00000000" w:rsidRPr="00000000" w14:paraId="0000003C">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Social Proof: Participants shown fake testimonials reported elevated trust and willingness to proceed, even though the information was misleading. This supports the literature on social validation effects and the persuasive impact of fabricated consensus (Goldsmith et al., 2020).</w:t>
      </w:r>
    </w:p>
    <w:p w:rsidR="00000000" w:rsidDel="00000000" w:rsidP="00000000" w:rsidRDefault="00000000" w:rsidRPr="00000000" w14:paraId="0000003D">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3.2 Moderation by Digital Literacy</w:t>
      </w:r>
    </w:p>
    <w:p w:rsidR="00000000" w:rsidDel="00000000" w:rsidP="00000000" w:rsidRDefault="00000000" w:rsidRPr="00000000" w14:paraId="0000003E">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Digital literacy significantly moderated participants' ability to detect manipulative practices. High literacy users demonstrated greater skepticism and were less likely to fall for deceptive design tactics (Ladeira et al., 2023; Fan et al., 2018; Tong et al., 2022). Tools like the Digital Literacy Assessment (DLA) and the Digital Competence Framework were used to categorize users.</w:t>
      </w:r>
    </w:p>
    <w:p w:rsidR="00000000" w:rsidDel="00000000" w:rsidP="00000000" w:rsidRDefault="00000000" w:rsidRPr="00000000" w14:paraId="0000003F">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Detection rate in the high literacy group reached 74%, compared to just 28% in the low literacy group. This disparity reinforces the vulnerability of less literate users and underscores the need for targeted digital education (Wood et al., 2018).</w:t>
      </w:r>
    </w:p>
    <w:p w:rsidR="00000000" w:rsidDel="00000000" w:rsidP="00000000" w:rsidRDefault="00000000" w:rsidRPr="00000000" w14:paraId="00000040">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Low literacy users exhibited confusion and anxiety in response to urgency and hidden pricing, leading to higher regret. These outcomes align with theories on informational asymmetry and stress induced decision making under cognitive overload (Ghose et al., 2023; Higham et al., 2021).</w:t>
      </w:r>
    </w:p>
    <w:p w:rsidR="00000000" w:rsidDel="00000000" w:rsidP="00000000" w:rsidRDefault="00000000" w:rsidRPr="00000000" w14:paraId="00000041">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3.3 Behavioral Outcomes</w:t>
      </w:r>
    </w:p>
    <w:p w:rsidR="00000000" w:rsidDel="00000000" w:rsidP="00000000" w:rsidRDefault="00000000" w:rsidRPr="00000000" w14:paraId="00000042">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The experiment revealed clear behavioral divergences across conditions. Trust ratings dropped significantly in dark pattern treatments compared to the control group. For example, the drip pricing group scored an average trust rating of 3.8 versus 6.1 in the control.</w:t>
      </w:r>
    </w:p>
    <w:p w:rsidR="00000000" w:rsidDel="00000000" w:rsidP="00000000" w:rsidRDefault="00000000" w:rsidRPr="00000000" w14:paraId="00000043">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Regret was highest among those in the drip pricing and consent manipulation groups, confirming that manipulation reduces satisfaction even after successful completion of a task (Tomm et al., 2023).</w:t>
      </w:r>
    </w:p>
    <w:p w:rsidR="00000000" w:rsidDel="00000000" w:rsidP="00000000" w:rsidRDefault="00000000" w:rsidRPr="00000000" w14:paraId="00000044">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Decision quality suffered across all manipulative conditions, as users were less likely to make the optimal economic choice. Metrics such as decision accuracy and satisfaction were significantly lower in the urgency and drip pricing treatments (Zamfir, 2024).</w:t>
      </w:r>
    </w:p>
    <w:p w:rsidR="00000000" w:rsidDel="00000000" w:rsidP="00000000" w:rsidRDefault="00000000" w:rsidRPr="00000000" w14:paraId="00000045">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Trust and satisfaction were mediated by perceived manipulation. Participants who reported feeling deceived scored lower in overall platform satisfaction. This mediating effect has been well documented in HCI literature, confirming that perceived ethical violations erode consumer confidence (Hmurovic et al., 2022).</w:t>
      </w:r>
    </w:p>
    <w:p w:rsidR="00000000" w:rsidDel="00000000" w:rsidP="00000000" w:rsidRDefault="00000000" w:rsidRPr="00000000" w14:paraId="00000046">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Best practices for evaluating UI treatment effects include mixed methods such as A/B testing and eye tracking. While this study relied on self reporting and statistical comparisons, future research should incorporate longitudinal designs to track changes in user behavior over time (Saura et al., 2019).</w:t>
      </w:r>
    </w:p>
    <w:p w:rsidR="00000000" w:rsidDel="00000000" w:rsidP="00000000" w:rsidRDefault="00000000" w:rsidRPr="00000000" w14:paraId="00000047">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The findings substantiate that manipulative design elements exert measurable harm on user experience, disproportionately affect vulnerable users, and weaken trust in digital platforms. They provide empirical grounding for future regulatory reform and ethical design frameworks in Indonesia.</w:t>
      </w:r>
    </w:p>
    <w:p w:rsidR="00000000" w:rsidDel="00000000" w:rsidP="00000000" w:rsidRDefault="00000000" w:rsidRPr="00000000" w14:paraId="00000048">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4.1 Interpretation of Key Findings</w:t>
      </w:r>
    </w:p>
    <w:p w:rsidR="00000000" w:rsidDel="00000000" w:rsidP="00000000" w:rsidRDefault="00000000" w:rsidRPr="00000000" w14:paraId="00000049">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The findings from this study offer a multifaceted understanding of the behavioral and psychological effects of dark patterns on Indonesian digital consumers.   The quantitative and qualitative results collectively align with established global literature and provide robust empirical support for the argument that dark patterns compromise ethical digital engagement. For example, the significant drop in trust scores and decision quality across all four manipulative treatments highlights not just the immediate effects on user behavior, but also potential long term impacts on consumer confidence and platform credibility. These patterns of manipulation are especially concerning in contexts where digital engagement is growing rapidly and where consumer awareness and legal literacy remain uneven.</w:t>
      </w:r>
    </w:p>
    <w:p w:rsidR="00000000" w:rsidDel="00000000" w:rsidP="00000000" w:rsidRDefault="00000000" w:rsidRPr="00000000" w14:paraId="0000004A">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4.2 Global Regulatory Context</w:t>
      </w:r>
    </w:p>
    <w:p w:rsidR="00000000" w:rsidDel="00000000" w:rsidP="00000000" w:rsidRDefault="00000000" w:rsidRPr="00000000" w14:paraId="0000004B">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Globally, policymakers and regulatory authorities have begun to acknowledge and respond to the challenges posed by dark patterns. The European Union’s General Data Protection Regulation (GDPR) has taken a pioneering role by requiring explicit, informed consent and prohibiting practices that undermine transparency and user autonomy, such as pre selected consent checkboxes (Mathur et al., 2021; Susser et al., 2019). In the United States, while there is no overarching federal law targeting dark patterns, state level initiatives such as the California Consumer Privacy Act (CCPA) have started to fill in the gaps by addressing user consent mechanisms and increasing consumer data rights. Additionally, federal bodies like the Federal Trade Commission (FTC) have articulated their intention to enforce fair competition rules more strictly by targeting manipulative interface designs under existing consumer protection statutes (Valenti &amp; Giacco, 2022). In Canada and other jurisdictions, the development of legal responses to deceptive digital design is gaining traction, reflecting a broader recognition of the need for legal clarity and enforcement mechanisms across varied cultural and economic contexts (Oyibo &amp; Morita, 2022). However, the fragmented nature of these global efforts underscores the necessity for harmonized international standards that prioritize ethical interface design across digital markets.</w:t>
      </w:r>
    </w:p>
    <w:p w:rsidR="00000000" w:rsidDel="00000000" w:rsidP="00000000" w:rsidRDefault="00000000" w:rsidRPr="00000000" w14:paraId="0000004C">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4.3 Ethical Frameworks in Design</w:t>
      </w:r>
    </w:p>
    <w:p w:rsidR="00000000" w:rsidDel="00000000" w:rsidP="00000000" w:rsidRDefault="00000000" w:rsidRPr="00000000" w14:paraId="0000004D">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Ethical critiques of dark patterns draw on various traditions. From a utilitarian view, such designs often harm users more than they help, favoring business interests over collective well-being, thereby violating utilitarian principles (Hunt et al., 2019; Voorveld &amp; Araujo, 2020). Deontological ethics, which emphasize duty and adherence to moral rules, categorically reject dark patterns as violations of the principle of informed consent and individual autonomy (Valenti &amp; Giacco, 2022). From the standpoint of virtue ethics, designers are morally obligated to foster user trust and transparency, positioning ethical design not as an afterthought but as a central tenet of professional responsibility (Iantorno et al., 2023). Moreover, insights from behavioral economics shed light on how interface designers exploit cognitive biases such as default effects and loss aversion, further emphasizing the ethical imperative to design with user empowerment rather than manipulation in mind (Oyibo &amp; Morita, 2022).</w:t>
      </w:r>
    </w:p>
    <w:p w:rsidR="00000000" w:rsidDel="00000000" w:rsidP="00000000" w:rsidRDefault="00000000" w:rsidRPr="00000000" w14:paraId="0000004E">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4.4 Behavioral Insights for Policymaking</w:t>
      </w:r>
    </w:p>
    <w:p w:rsidR="00000000" w:rsidDel="00000000" w:rsidP="00000000" w:rsidRDefault="00000000" w:rsidRPr="00000000" w14:paraId="0000004F">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Behavioral research plays a pivotal role in informing policy decisions regarding digital consumer protection. By identifying the psychological and cognitive vulnerabilities that dark patterns exploit, empirical studies provide a concrete foundation for legal reform and public advocacy. The consistent findings of increased regret, reduced decision quality, and decreased trust in the presence of deceptive design elements underscore the urgent need for stronger policy interventions (Cemiloglu et al., 2021; Rose &amp; MacGregor, 2021). Policymakers can use these insights to tailor regulatory strategies that account for differences in digital literacy, socioeconomic status, and exposure to digital technologies. Furthermore, the integration of behavioral findings into lawmaking processes can foster more user centric regulations, ensuring that protections are not only legally enforceable but also behaviorally effective. In this way, legal structures become better equipped to prevent exploitative practices and empower users in digital environments (Ienca et al., 2018).</w:t>
      </w:r>
    </w:p>
    <w:p w:rsidR="00000000" w:rsidDel="00000000" w:rsidP="00000000" w:rsidRDefault="00000000" w:rsidRPr="00000000" w14:paraId="00000050">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4.5 Interface Auditing and Practical Tools</w:t>
      </w:r>
    </w:p>
    <w:p w:rsidR="00000000" w:rsidDel="00000000" w:rsidP="00000000" w:rsidRDefault="00000000" w:rsidRPr="00000000" w14:paraId="00000051">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Addressing dark patterns requires actionable tools for evaluation and reform. Several interface auditing mechanisms have been proposed to detect, flag, and mitigate manipulative practices before they reach users. The "Dark Patterns Detector" utilizes automated scanning algorithms to identify known types of deceptive design patterns and alert developers to potential violations (Mathur et al., 2021). Meanwhile, legal evaluation frameworks offer structured protocols for assessing whether an interface respects legal and ethical standards regarding user autonomy, transparency, and informed choice (Ienca et al., 2018). Participatory design approaches provide an additional safeguard by incorporating user perspectives into the design process, fostering ethical co creation and reducing the risk of manipulation (Hunt et al., 2019). These tools demonstrate how technological and participatory solutions can be harmonized to strengthen ethical standards in digital product development.</w:t>
      </w:r>
    </w:p>
    <w:p w:rsidR="00000000" w:rsidDel="00000000" w:rsidP="00000000" w:rsidRDefault="00000000" w:rsidRPr="00000000" w14:paraId="00000052">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4.6 Implications for Indonesia</w:t>
      </w:r>
    </w:p>
    <w:p w:rsidR="00000000" w:rsidDel="00000000" w:rsidP="00000000" w:rsidRDefault="00000000" w:rsidRPr="00000000" w14:paraId="00000053">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In the Indonesian context, the regulatory environment provides a foundational legal infrastructure through frameworks such as the Personal Data Protection Law (UU PDP) and the Financial Services Authority Regulation (POJK 22/2023). While these regulations recognize the importance of data integrity and consumer protection, they currently lack detailed operational guidelines for identifying, flagging, and penalizing dark patterns embedded within user interfaces. The findings of this study strongly support the call for regulatory refinement, particularly in the form of UI level compliance checks, legal audits, and standardized design protocols. Furthermore, the pronounced disparity between high  and low literacy users revealed in this study highlights the urgent need for nationwide digital literacy initiatives. Such programs should aim to educate users about their rights, improve critical thinking in digital interactions, and equip them with tools to recognize and resist manipulation. In doing so, Indonesia can foster a safer and more equitable digital ecosystem that protects all users, regardless of their technical proficiency.</w:t>
      </w:r>
    </w:p>
    <w:p w:rsidR="00000000" w:rsidDel="00000000" w:rsidP="00000000" w:rsidRDefault="00000000" w:rsidRPr="00000000" w14:paraId="00000054">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4.7 Conclusion of the Discussion</w:t>
      </w:r>
    </w:p>
    <w:p w:rsidR="00000000" w:rsidDel="00000000" w:rsidP="00000000" w:rsidRDefault="00000000" w:rsidRPr="00000000" w14:paraId="00000055">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In summary, the study affirms the pervasive influence of dark patterns on digital consumer behavior in Indonesia and situates these findings within a broader global context of ethical concern and regulatory evolution. The empirical evidence supports international claims that manipulative design tactics undermine user autonomy and platform trust. A coordinated response involving regulatory bodies, interface designers, educators, and civil society is essential to counteract these harms. Future work must emphasize interdisciplinary collaboration, legal innovation, and proactive design reform to safeguard digital spaces from manipulation and ensure that users are treated with dignity, respect, and transparency.</w:t>
      </w:r>
    </w:p>
    <w:p w:rsidR="00000000" w:rsidDel="00000000" w:rsidP="00000000" w:rsidRDefault="00000000" w:rsidRPr="00000000" w14:paraId="00000056">
      <w:pPr>
        <w:rPr/>
      </w:pPr>
      <w:r w:rsidDel="00000000" w:rsidR="00000000" w:rsidRPr="00000000">
        <w:rPr>
          <w:rtl w:val="0"/>
        </w:rPr>
      </w:r>
    </w:p>
    <w:p w:rsidR="00000000" w:rsidDel="00000000" w:rsidP="00000000" w:rsidRDefault="00000000" w:rsidRPr="00000000" w14:paraId="00000057">
      <w:pPr>
        <w:pStyle w:val="Heading1"/>
        <w:spacing w:before="0" w:line="276" w:lineRule="auto"/>
        <w:rPr>
          <w:rFonts w:ascii="Garamond" w:cs="Garamond" w:eastAsia="Garamond" w:hAnsi="Garamond"/>
          <w:b w:val="1"/>
          <w:color w:val="000000"/>
          <w:sz w:val="24"/>
          <w:szCs w:val="24"/>
        </w:rPr>
      </w:pPr>
      <w:r w:rsidDel="00000000" w:rsidR="00000000" w:rsidRPr="00000000">
        <w:rPr>
          <w:rFonts w:ascii="Garamond" w:cs="Garamond" w:eastAsia="Garamond" w:hAnsi="Garamond"/>
          <w:b w:val="1"/>
          <w:color w:val="000000"/>
          <w:sz w:val="24"/>
          <w:szCs w:val="24"/>
          <w:rtl w:val="0"/>
        </w:rPr>
        <w:t xml:space="preserve">CONCLUSION </w:t>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76" w:lineRule="auto"/>
        <w:ind w:left="0" w:right="0" w:firstLine="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This study demonstrates that dark patterns such as urgency cues, hidden pricing, and consent manipulation have significant behavioral and ethical consequences for Indonesian consumers. These designs reduce trust, impair decision quality, and disproportionately harm users with low digital literacy, reinforcing digital inequality. By using localized simulations, the research offers the first empirical framework in Indonesia that bridges behavioral science, legal analysis, and UX evaluation.</w:t>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76" w:lineRule="auto"/>
        <w:ind w:left="0" w:right="0" w:firstLine="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To protect consumer rights in the digital era, Indonesia must enhance its legal tools to detect and penalize interface-level manipulation. Regulatory reform, ethical UI practices, and nationwide digital literacy education are essential to creating a trustworthy digital environment. These findings provide a foundation for future interdisciplinary efforts to ensure fairness, transparency, and user empowerment in the country’s rapidly evolving digital ecosystem.</w:t>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76" w:lineRule="auto"/>
        <w:ind w:left="0" w:right="0" w:firstLine="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76" w:lineRule="auto"/>
        <w:ind w:left="0" w:right="0" w:firstLine="0"/>
        <w:jc w:val="both"/>
        <w:rPr>
          <w:rFonts w:ascii="Garamond" w:cs="Garamond" w:eastAsia="Garamond" w:hAnsi="Garamond"/>
          <w:b w:val="1"/>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REFERENCE</w:t>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76" w:lineRule="auto"/>
        <w:ind w:left="0" w:right="0" w:firstLine="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Agus, &amp; Taufik, H. E. R. (2017). Adoption Model of E-Commerce From SMEs Perspective in Developing Country Evidence – Case Study for Indonesia. European Research Studies Journal, XX(Issue 4B), 227–243. https://doi.org/10.35808/ersj/887</w:t>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76" w:lineRule="auto"/>
        <w:ind w:left="0" w:right="0" w:firstLine="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Andikatama, A. Z., &amp; Turisno, B. E. (2024). Consumer Protection Law in the Digital Era. International Journal of Social Science and Human Research, 7(07). https://doi.org/10.47191/ijsshr/v7-i07-03</w:t>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76" w:lineRule="auto"/>
        <w:ind w:left="0" w:right="0" w:firstLine="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Arifin, R., Kambuno, J. A., Waspiah, W., &amp; Latifiani, D. (2021). Protecting the Consumer Rights in the Digital Economic Era: Future Challenges in Indonesia. Jambura Law Review, 3, 135–160. https://doi.org/10.33756/jlr.v3i0.9635</w:t>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76" w:lineRule="auto"/>
        <w:ind w:left="0" w:right="0" w:firstLine="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Cardoso, F., Afonso, J., Roca, A., &amp; Teoldo, I. (2020). The Association Between Perceptual-Cognitive Processes and Response Time in Decision Making in Young Soccer Players. Journal of Sports Sciences, 39(8), 926–935. https://doi.org/10.1080/02640414.2020.1851901</w:t>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76" w:lineRule="auto"/>
        <w:ind w:left="0" w:right="0" w:firstLine="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Cemiloglu, D., Catania, M., &amp; Ali, R. (2021). Explainable Persuasion in Interactive Design. 377–382. https://doi.org/10.1109/rew53955.2021.00066</w:t>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76" w:lineRule="auto"/>
        <w:ind w:left="0" w:right="0" w:firstLine="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Cho, Y.-J. (2017). A Consumer Satisfaction Model Based on the Integration of EDT and TAM. Asia Pacific Journal of Marketing and Logistics, 29(5), 978–993. https://doi.org/10.1108/apjml-07-2016-0127</w:t>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76" w:lineRule="auto"/>
        <w:ind w:left="0" w:right="0" w:firstLine="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Dewi, W. E., Khouroh, U., &amp; Natsir, M. (2024). The Influence of Technology Acceptance on E-Commerce Behavior of Sociolla Users Is Mediated by Behavioral Intentions (UTAUT 2 Testing Study). Journal of Economics Finance and Management Studies, 07(04). https://doi.org/10.47191/jefms/v7-i4-05</w:t>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76" w:lineRule="auto"/>
        <w:ind w:left="0" w:right="0" w:firstLine="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Ghose, A., Lee, H. A., Nam, K., &amp; Oh, W. (2023). The Effects of Pressure and Self-Assurance Nudges on Product Purchases and Returns in Online Retailing: Evidence From a Randomized Field Experiment. Journal of Marketing Research, 61(3), 517–535. https://doi.org/10.1177/00222437231180494</w:t>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76" w:lineRule="auto"/>
        <w:ind w:left="0" w:right="0" w:firstLine="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Goldsmith, K., Griskevicius, V., &amp; Hamilton, R. (2020). Scarcity and Consumer Decision Making: Is Scarcity a Mindset, a Threat, a Reference Point, or a Journey? Journal of the Association for Consumer Research, 5(4), 358–364. https://doi.org/10.1086/710531</w:t>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76" w:lineRule="auto"/>
        <w:ind w:left="0" w:right="0" w:firstLine="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Hati, S. R. H., &amp; Latip, H. A. (2023). Behind the Curtain of Payday Lending: Revealing Consumer Insights and Ethical Challenges in Indonesia and the USA Using Web-Scraping Methods. International Journal of Ethics and Systems, 40(2), 436–452. https://doi.org/10.1108/ijoes-03-2023-0060</w:t>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76" w:lineRule="auto"/>
        <w:ind w:left="0" w:right="0" w:firstLine="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Higham, J., Hanna, P., Hopkins, D., Cohen, S. A., Gößling, S., &amp; Cocolas, N. (2021). Reconfiguring Aviation for a Climate-Safe Future: Are Airlines Sending the Wrong Message? Journal of Travel Research, 61(6), 1458–1473. https://doi.org/10.1177/00472875211033648</w:t>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76" w:lineRule="auto"/>
        <w:ind w:left="0" w:right="0" w:firstLine="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Hmurovic, J., Lamberton, C., &amp; Goldsmith, K. (2022). Examining the Efficacy of Time Scarcity Marketing Promotions in Online Retail. Journal of Marketing Research, 60(2), 299–328. https://doi.org/10.1177/00222437221118856</w:t>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76" w:lineRule="auto"/>
        <w:ind w:left="0" w:right="0" w:firstLine="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Hunt, J., Bristowe, K., Chidyamatare, S., &amp; Harding, R. (2019). ‘So Isolation Comes In, Discrimination and You Find Many People Dying Quietly Without Any Family Support’: Accessing Palliative Care for Key Populations – An in-Depth Qualitative Study. Palliative Medicine, 33(6), 685–692. https://doi.org/10.1177/0269216319835398</w:t>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76" w:lineRule="auto"/>
        <w:ind w:left="0" w:right="0" w:firstLine="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Iantorno, M., Guadagnolo, D., &amp; Petterson, A. (2023). Dark Patterns and Pedagogy: Expanding Scholarship and Curriculum on Manipulative Marketing Practices. Aoir Selected Papers of Internet Research. https://doi.org/10.5210/spir.v2023i0.13430</w:t>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76" w:lineRule="auto"/>
        <w:ind w:left="0" w:right="0" w:firstLine="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Ienca, M., Ferretti, A., Hurst, S., Puhan, M. A., Lovis, C., &amp; Vayena, E. (2018). Considerations for Ethics Review of Big Data Health Research: A Scoping Review. Plos One, 13(10), e0204937. https://doi.org/10.1371/journal.pone.0204937</w:t>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76" w:lineRule="auto"/>
        <w:ind w:left="0" w:right="0" w:firstLine="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Jamalifard, M., Russell</w:t>
      </w:r>
      <w:r w:rsidDel="00000000" w:rsidR="00000000" w:rsidRPr="00000000">
        <w:rPr>
          <w:rFonts w:ascii="Cambria Math" w:cs="Cambria Math" w:eastAsia="Cambria Math" w:hAnsi="Cambria Math"/>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Rose, T., &amp; Brignull, H. (2024). Exploring Deceptive Patterns: Insights From Eye Tracking, EMG and Sentiment Analysis. https://doi.org/10.14236/ewic/bcshci2024.20</w:t>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76" w:lineRule="auto"/>
        <w:ind w:left="0" w:right="0" w:firstLine="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Kharisma, D. B. (2020). Urgency of Financial Technology (Fintech) Laws in Indonesia. International Journal of Law and Management, 63(3), 320–331. https://doi.org/10.1108/ijlma-08-2020-0233</w:t>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76" w:lineRule="auto"/>
        <w:ind w:left="0" w:right="0" w:firstLine="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Luguri, J. B., &amp; Strahilevitz, L. (2021). Shining a Light on Dark Patterns. The Journal of Legal Analysis, 13(1), 43–109. https://doi.org/10.1093/jla/laaa006</w:t>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76" w:lineRule="auto"/>
        <w:ind w:left="0" w:right="0" w:firstLine="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Mackey, T. K., Nali, M., Larsen, M. Z., Li, Z., Li, J., &amp; Yang, J. (2024). Online Availability of Diamond Shruumz Before and After FDA Recall Initiation: Qualitative Assessment and Simulated Test Purchasing (Preprint). Journal of Medical Internet Research. https://doi.org/10.2196/64820</w:t>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76" w:lineRule="auto"/>
        <w:ind w:left="0" w:right="0" w:firstLine="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Mathur, A., Kshirsagar, M., &amp; Mayer, J. (2021). What Makes a Dark Pattern... Dark? 1–18. https://doi.org/10.1145/3411764.3445610</w:t>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76" w:lineRule="auto"/>
        <w:ind w:left="0" w:right="0" w:firstLine="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Matnuh, H. (2021). Rectifying Consumer Protection Law and Establishing of a Consumer Court in Indonesia. Journal of Consumer Policy, 44(3), 483–495. https://doi.org/10.1007/s10603-021-09487-z</w:t>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76" w:lineRule="auto"/>
        <w:ind w:left="0" w:right="0" w:firstLine="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Mupangavanhu, Y., &amp; Kerchhoff, D. (2023). Online Deceptive Advertising and Consumer Protection in South Africa—The Law and Its Shortcomings? De Jure, 56(1), 86–106. https://doi.org/10.17159/2225-7160/2023/v56a7</w:t>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76" w:lineRule="auto"/>
        <w:ind w:left="0" w:right="0" w:firstLine="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Oyibo, K., &amp; Morita, P. P. (2022). Factors Influencing the Willingness to Download COVID-19 Contact Tracing Apps: The Moderating Effect of Persuasive Design and Smartphone Usage Experience. Proceedings of the International Symposium on Human Factors and Ergonomics in Health Care, 11(1), 163–169. https://doi.org/10.1177/2327857922111033</w:t>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76" w:lineRule="auto"/>
        <w:ind w:left="0" w:right="0" w:firstLine="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Patrada, R., &amp; Andajani, E. (2021). Effect and Consequence E-Customer Satisfaction for E-Commerce Users. Iptek Journal of Proceedings Series, 0(1), 219. https://doi.org/10.12962/j23546026.y2020i1.8491</w:t>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76" w:lineRule="auto"/>
        <w:ind w:left="0" w:right="0" w:firstLine="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Prabowo, M. S., &amp; Sulistianingsih, D. (2023). Reformulation of Consumer Protection Legal Policies in the Digital Business Era in Indonesia. Diponegoro Law Review, 8(1), 14–24. https://doi.org/10.14710/dilrev.8.1.2023.14-24</w:t>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76" w:lineRule="auto"/>
        <w:ind w:left="0" w:right="0" w:firstLine="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Prastyanti, R. A., Yafi, E., Wardiono, K., &amp; Budiono, A. (2021). The Legal Aspect of Consumers’ Protection From Pop-Up Advertisements in Indonesia. Lentera Hukum, 8(1), 73. https://doi.org/10.19184/ejlh.v8i1.23479</w:t>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76" w:lineRule="auto"/>
        <w:ind w:left="0" w:right="0" w:firstLine="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Ramadhan, M. T. A., Fitri, W., &amp; Agustianto, A. (2024). Consumer Data Protection Amidst the Rise of Online Loan Services: Safeguarding Personal Data Privacy. Legal Spirit, 8(2), 453–462. https://doi.org/10.31328/ls.v8i2.5502</w:t>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76" w:lineRule="auto"/>
        <w:ind w:left="0" w:right="0" w:firstLine="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Rongiyati, S. (2019). Pelindungan Konsumen Dalam Transaksi Dagang Melalui Sistem Elektronik (Consumer Protection in E-Commerce). Negara Hukum Membangun Hukum Untuk Keadilan Dan Kesejahteraan, 10(1), 1–25. https://doi.org/10.22212/jnh.v10i1.1223</w:t>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76" w:lineRule="auto"/>
        <w:ind w:left="0" w:right="0" w:firstLine="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Rose, J., &amp; MacGregor, O. (2021). The Architecture of Algorithm-Driven Persuasion. Journal of Information Architecture, 6(1), 7–40. https://doi.org/10.55135/1015060901/211.009/2.037</w:t>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76" w:lineRule="auto"/>
        <w:ind w:left="0" w:right="0" w:firstLine="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Santoso, M. A., &amp; Marlinah, M. (2024). Consumer Protection in Business Law: Conflict of Norms and Its Implications Under Article 18 of Law No. 8 of 1999 on Consumer Protection. International Journal of Multidisciplinary Research and Analysis, 07(10). https://doi.org/10.47191/ijmra/v7-i10-42</w:t>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76" w:lineRule="auto"/>
        <w:ind w:left="0" w:right="0" w:firstLine="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Saura, J. R., Reyes-Menéndez, A., &amp; Palos</w:t>
      </w:r>
      <w:r w:rsidDel="00000000" w:rsidR="00000000" w:rsidRPr="00000000">
        <w:rPr>
          <w:rFonts w:ascii="Cambria Math" w:cs="Cambria Math" w:eastAsia="Cambria Math" w:hAnsi="Cambria Math"/>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Sánchez, P. R. (2019). Are Black Friday Deals Worth It? Mining Twitter Users’ Sentiment and Behavior Response. Journal of Open Innovation Technology Market and Complexity, 5(3), 58. https://doi.org/10.3390/joitmc5030058</w:t>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76" w:lineRule="auto"/>
        <w:ind w:left="0" w:right="0" w:firstLine="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Susser, D., Roessler, B., &amp; Nissenbaum, H. (2019). Technology, Autonomy, and Manipulation. Internet Policy Review, 8(2). https://doi.org/10.14763/2019.2.1410</w:t>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76" w:lineRule="auto"/>
        <w:ind w:left="0" w:right="0" w:firstLine="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Syamsudin, M. (2020). The Failure of the Court to Protect Consumers: A Review of Consumer Dispute Resolution in Indonesia. Journal of Consumer Policy, 44(1), 117–130. https://doi.org/10.1007/s10603-020-09470-0</w:t>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76" w:lineRule="auto"/>
        <w:ind w:left="0" w:right="0" w:firstLine="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Tomm, B. M., Shafir, E., &amp; Zhao, J. (2023). Scarcity Captures Attention and Induces Neglect: Eyetracking and Behavoral Evidence. https://doi.org/10.31234/osf.io/c9jq6</w:t>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76" w:lineRule="auto"/>
        <w:ind w:left="0" w:right="0" w:firstLine="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Tromp, J., Wurm, F., Lucchi, F., Kleijn, R. d., &amp; Nieuwenhuis, S. (2024). Phasic Alertness Generates Urgency and Amplifies Competition Between Evidence Accumulators. https://doi.org/10.1101/2024.06.18.599522</w:t>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76" w:lineRule="auto"/>
        <w:ind w:left="0" w:right="0" w:firstLine="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Trzaskowski, J. (2024). Manipulation by Design. Electronic Markets, 34(1). https://doi.org/10.1007/s12525-024-00699-y</w:t>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76" w:lineRule="auto"/>
        <w:ind w:left="0" w:right="0" w:firstLine="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Valenti, E., &amp; Giacco, D. (2022). Persuasion or Coercion? An Empirical Ethics Analysis About the Use of Influence Strategies in Mental Health Community Care. BMC Health Services Research, 22(1). https://doi.org/10.1186/s12913-022-08555-5</w:t>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76" w:lineRule="auto"/>
        <w:ind w:left="0" w:right="0" w:firstLine="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Voorveld, H., &amp; Araujo, T. (2020). How Social Cues in Virtual Assistants Influence Concerns and Persuasion: The Role of Voice and a Human Name. Cyberpsychology Behavior and Social Networking, 23(10), 689–696. https://doi.org/10.1089/cyber.2019.0205</w:t>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76" w:lineRule="auto"/>
        <w:ind w:left="0" w:right="0" w:firstLine="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Wood, S., Liu, P., Hanoch, Y., Xi, P. M., &amp; Klapatch, L. (2018). Call to Claim Your Prize: Perceived Benefits and Risk Drive Intention to Comply in a Mass Marketing Scam. Journal of Experimental Psychology Applied, 24(2), 196–206. https://doi.org/10.1037/xap0000167</w:t>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76" w:lineRule="auto"/>
        <w:ind w:left="0" w:right="0" w:firstLine="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Zamfir, M. D. (2024). Scarcity Effect and Consumer Decision Biases: How Urgency Influences the Perceived Value of Products. Journal of World Economy, 3(4), 27–34. https://doi.org/10.56397/jwe.2024.12.04</w:t>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280" w:line="276" w:lineRule="auto"/>
        <w:ind w:left="0" w:right="0" w:firstLine="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Zhang</w:t>
      </w:r>
      <w:r w:rsidDel="00000000" w:rsidR="00000000" w:rsidRPr="00000000">
        <w:rPr>
          <w:rFonts w:ascii="Cambria Math" w:cs="Cambria Math" w:eastAsia="Cambria Math" w:hAnsi="Cambria Math"/>
          <w:b w:val="0"/>
          <w:i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Y., Abbas, H., &amp; Sun, Y. (2019). Smart E-Commerce Integration With Recommender Systems. Electronic Markets, 29(2), 219–220. https://doi.org/10.1007/s12525-019-00346-x</w:t>
      </w:r>
    </w:p>
    <w:sectPr>
      <w:headerReference r:id="rId9" w:type="default"/>
      <w:headerReference r:id="rId10" w:type="first"/>
      <w:headerReference r:id="rId11" w:type="even"/>
      <w:footerReference r:id="rId12" w:type="default"/>
      <w:footerReference r:id="rId13" w:type="first"/>
      <w:pgSz w:h="16838" w:w="11906" w:orient="portrait"/>
      <w:pgMar w:bottom="1440" w:top="1440" w:left="1440" w:right="1440" w:header="708" w:footer="708"/>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Courier New"/>
  <w:font w:name="Garamon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 w:name="Cambria Math">
    <w:embedRegular w:fontKey="{00000000-0000-0000-0000-000000000000}" r:id="rId7"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D">
    <w:pPr>
      <w:keepNext w:val="0"/>
      <w:keepLines w:val="0"/>
      <w:pageBreakBefore w:val="0"/>
      <w:widowControl w:val="1"/>
      <w:pBdr>
        <w:top w:color="d9d9d9" w:space="1" w:sz="4" w:val="single"/>
        <w:left w:space="0" w:sz="0" w:val="nil"/>
        <w:bottom w:space="0" w:sz="0" w:val="nil"/>
        <w:right w:space="0" w:sz="0" w:val="nil"/>
        <w:between w:space="0" w:sz="0" w:val="nil"/>
      </w:pBdr>
      <w:shd w:fill="auto" w:val="clear"/>
      <w:tabs>
        <w:tab w:val="center" w:leader="none" w:pos="4680"/>
        <w:tab w:val="right" w:leader="none" w:pos="9360"/>
        <w:tab w:val="left" w:leader="none" w:pos="8910"/>
      </w:tabs>
      <w:spacing w:after="0" w:before="0" w:line="240" w:lineRule="auto"/>
      <w:ind w:left="0" w:right="0" w:firstLine="0"/>
      <w:jc w:val="left"/>
      <w:rPr>
        <w:rFonts w:ascii="Garamond" w:cs="Garamond" w:eastAsia="Garamond" w:hAnsi="Garamond"/>
        <w:b w:val="1"/>
        <w:i w:val="0"/>
        <w:smallCaps w:val="0"/>
        <w:strike w:val="0"/>
        <w:color w:val="000000"/>
        <w:sz w:val="22"/>
        <w:szCs w:val="22"/>
        <w:u w:val="none"/>
        <w:shd w:fill="auto" w:val="clear"/>
        <w:vertAlign w:val="baseline"/>
      </w:rPr>
    </w:pPr>
    <w:r w:rsidDel="00000000" w:rsidR="00000000" w:rsidRPr="00000000">
      <w:rPr>
        <w:rFonts w:ascii="Garamond" w:cs="Garamond" w:eastAsia="Garamond" w:hAnsi="Garamond"/>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Fonts w:ascii="Garamond" w:cs="Garamond" w:eastAsia="Garamond" w:hAnsi="Garamond"/>
        <w:b w:val="1"/>
        <w:i w:val="0"/>
        <w:smallCaps w:val="0"/>
        <w:strike w:val="0"/>
        <w:color w:val="000000"/>
        <w:sz w:val="22"/>
        <w:szCs w:val="22"/>
        <w:u w:val="none"/>
        <w:shd w:fill="auto" w:val="clear"/>
        <w:vertAlign w:val="baseline"/>
        <w:rtl w:val="0"/>
      </w:rPr>
      <w:t xml:space="preserve"> | </w:t>
    </w:r>
    <w:r w:rsidDel="00000000" w:rsidR="00000000" w:rsidRPr="00000000">
      <w:rPr>
        <w:rFonts w:ascii="Garamond" w:cs="Garamond" w:eastAsia="Garamond" w:hAnsi="Garamond"/>
        <w:b w:val="0"/>
        <w:i w:val="0"/>
        <w:smallCaps w:val="0"/>
        <w:strike w:val="0"/>
        <w:color w:val="000000"/>
        <w:sz w:val="22"/>
        <w:szCs w:val="22"/>
        <w:u w:val="none"/>
        <w:shd w:fill="auto" w:val="clear"/>
        <w:vertAlign w:val="baseline"/>
        <w:rtl w:val="0"/>
      </w:rPr>
      <w:t xml:space="preserve">Data : Journal of Information Systems and Management                 </w:t>
    </w:r>
    <w:hyperlink r:id="rId1">
      <w:r w:rsidDel="00000000" w:rsidR="00000000" w:rsidRPr="00000000">
        <w:rPr>
          <w:rFonts w:ascii="Garamond" w:cs="Garamond" w:eastAsia="Garamond" w:hAnsi="Garamond"/>
          <w:b w:val="0"/>
          <w:i w:val="0"/>
          <w:smallCaps w:val="0"/>
          <w:strike w:val="0"/>
          <w:color w:val="0000ff"/>
          <w:sz w:val="22"/>
          <w:szCs w:val="22"/>
          <w:u w:val="single"/>
          <w:shd w:fill="auto" w:val="clear"/>
          <w:vertAlign w:val="baseline"/>
          <w:rtl w:val="0"/>
        </w:rPr>
        <w:t xml:space="preserve">https://journal.idscipub.com/data</w:t>
      </w:r>
    </w:hyperlink>
    <w:r w:rsidDel="00000000" w:rsidR="00000000" w:rsidRPr="00000000">
      <w:rPr>
        <w:rFonts w:ascii="Garamond" w:cs="Garamond" w:eastAsia="Garamond" w:hAnsi="Garamond"/>
        <w:b w:val="0"/>
        <w:i w:val="0"/>
        <w:smallCaps w:val="0"/>
        <w:strike w:val="0"/>
        <w:color w:val="000000"/>
        <w:sz w:val="22"/>
        <w:szCs w:val="22"/>
        <w:u w:val="none"/>
        <w:shd w:fill="auto" w:val="clear"/>
        <w:vertAlign w:val="baseline"/>
        <w:rtl w:val="0"/>
      </w:rPr>
      <w:t xml:space="preserve">                           </w:t>
    </w:r>
    <w:r w:rsidDel="00000000" w:rsidR="00000000" w:rsidRPr="00000000">
      <w:rPr>
        <w:rFonts w:ascii="Garamond" w:cs="Garamond" w:eastAsia="Garamond" w:hAnsi="Garamond"/>
        <w:b w:val="0"/>
        <w:i w:val="0"/>
        <w:smallCaps w:val="0"/>
        <w:strike w:val="0"/>
        <w:color w:val="7f7f7f"/>
        <w:sz w:val="22"/>
        <w:szCs w:val="22"/>
        <w:u w:val="none"/>
        <w:shd w:fill="auto" w:val="clear"/>
        <w:vertAlign w:val="baseline"/>
        <w:rtl w:val="0"/>
      </w:rPr>
      <w:t xml:space="preserve"> </w:t>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E">
    <w:pPr>
      <w:keepNext w:val="0"/>
      <w:keepLines w:val="0"/>
      <w:pageBreakBefore w:val="0"/>
      <w:widowControl w:val="1"/>
      <w:pBdr>
        <w:top w:color="d9d9d9" w:space="1" w:sz="4" w:val="single"/>
        <w:left w:space="0" w:sz="0" w:val="nil"/>
        <w:bottom w:space="0" w:sz="0" w:val="nil"/>
        <w:right w:space="0" w:sz="0" w:val="nil"/>
        <w:between w:space="0" w:sz="0" w:val="nil"/>
      </w:pBdr>
      <w:shd w:fill="auto" w:val="clear"/>
      <w:tabs>
        <w:tab w:val="center" w:leader="none" w:pos="4680"/>
        <w:tab w:val="right" w:leader="none" w:pos="9360"/>
        <w:tab w:val="left" w:leader="none" w:pos="8910"/>
      </w:tabs>
      <w:spacing w:after="0" w:before="0" w:line="240" w:lineRule="auto"/>
      <w:ind w:left="0" w:right="0" w:firstLine="0"/>
      <w:jc w:val="left"/>
      <w:rPr>
        <w:rFonts w:ascii="Garamond" w:cs="Garamond" w:eastAsia="Garamond" w:hAnsi="Garamond"/>
        <w:b w:val="1"/>
        <w:i w:val="0"/>
        <w:smallCaps w:val="0"/>
        <w:strike w:val="0"/>
        <w:color w:val="000000"/>
        <w:sz w:val="22"/>
        <w:szCs w:val="22"/>
        <w:u w:val="none"/>
        <w:shd w:fill="auto" w:val="clear"/>
        <w:vertAlign w:val="baseline"/>
      </w:rPr>
    </w:pPr>
    <w:r w:rsidDel="00000000" w:rsidR="00000000" w:rsidRPr="00000000">
      <w:rPr>
        <w:rFonts w:ascii="Garamond" w:cs="Garamond" w:eastAsia="Garamond" w:hAnsi="Garamond"/>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Fonts w:ascii="Garamond" w:cs="Garamond" w:eastAsia="Garamond" w:hAnsi="Garamond"/>
        <w:b w:val="1"/>
        <w:i w:val="0"/>
        <w:smallCaps w:val="0"/>
        <w:strike w:val="0"/>
        <w:color w:val="000000"/>
        <w:sz w:val="22"/>
        <w:szCs w:val="22"/>
        <w:u w:val="none"/>
        <w:shd w:fill="auto" w:val="clear"/>
        <w:vertAlign w:val="baseline"/>
        <w:rtl w:val="0"/>
      </w:rPr>
      <w:t xml:space="preserve"> | </w:t>
    </w:r>
    <w:r w:rsidDel="00000000" w:rsidR="00000000" w:rsidRPr="00000000">
      <w:rPr>
        <w:rFonts w:ascii="Garamond" w:cs="Garamond" w:eastAsia="Garamond" w:hAnsi="Garamond"/>
        <w:b w:val="0"/>
        <w:i w:val="0"/>
        <w:smallCaps w:val="0"/>
        <w:strike w:val="0"/>
        <w:color w:val="000000"/>
        <w:sz w:val="22"/>
        <w:szCs w:val="22"/>
        <w:u w:val="none"/>
        <w:shd w:fill="auto" w:val="clear"/>
        <w:vertAlign w:val="baseline"/>
        <w:rtl w:val="0"/>
      </w:rPr>
      <w:t xml:space="preserve">Data : Journal of Information Systems and Management                 </w:t>
    </w:r>
    <w:hyperlink r:id="rId1">
      <w:r w:rsidDel="00000000" w:rsidR="00000000" w:rsidRPr="00000000">
        <w:rPr>
          <w:rFonts w:ascii="Garamond" w:cs="Garamond" w:eastAsia="Garamond" w:hAnsi="Garamond"/>
          <w:b w:val="0"/>
          <w:i w:val="0"/>
          <w:smallCaps w:val="0"/>
          <w:strike w:val="0"/>
          <w:color w:val="0000ff"/>
          <w:sz w:val="22"/>
          <w:szCs w:val="22"/>
          <w:u w:val="single"/>
          <w:shd w:fill="auto" w:val="clear"/>
          <w:vertAlign w:val="baseline"/>
          <w:rtl w:val="0"/>
        </w:rPr>
        <w:t xml:space="preserve">https://journal.idscipub.com/data</w:t>
      </w:r>
    </w:hyperlink>
    <w:r w:rsidDel="00000000" w:rsidR="00000000" w:rsidRPr="00000000">
      <w:rPr>
        <w:rFonts w:ascii="Garamond" w:cs="Garamond" w:eastAsia="Garamond" w:hAnsi="Garamond"/>
        <w:b w:val="0"/>
        <w:i w:val="0"/>
        <w:smallCaps w:val="0"/>
        <w:strike w:val="0"/>
        <w:color w:val="000000"/>
        <w:sz w:val="22"/>
        <w:szCs w:val="22"/>
        <w:u w:val="none"/>
        <w:shd w:fill="auto" w:val="clear"/>
        <w:vertAlign w:val="baseline"/>
        <w:rtl w:val="0"/>
      </w:rPr>
      <w:t xml:space="preserve">                           </w:t>
    </w:r>
    <w:r w:rsidDel="00000000" w:rsidR="00000000" w:rsidRPr="00000000">
      <w:rPr>
        <w:rFonts w:ascii="Garamond" w:cs="Garamond" w:eastAsia="Garamond" w:hAnsi="Garamond"/>
        <w:b w:val="0"/>
        <w:i w:val="0"/>
        <w:smallCaps w:val="0"/>
        <w:strike w:val="0"/>
        <w:color w:val="7f7f7f"/>
        <w:sz w:val="22"/>
        <w:szCs w:val="22"/>
        <w:u w:val="none"/>
        <w:shd w:fill="auto" w:val="clear"/>
        <w:vertAlign w:val="baseline"/>
        <w:rtl w:val="0"/>
      </w:rPr>
      <w:t xml:space="preserve"> </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5">
    <w:pPr>
      <w:pStyle w:val="Title"/>
      <w:spacing w:line="276"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Pengaruh Strategi Pemasaran Dan Kualitas Layanan  Terhadap Keputusan Orang Tua Siswa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Garamond" w:cs="Garamond" w:eastAsia="Garamond" w:hAnsi="Garamond"/>
        <w:b w:val="1"/>
        <w:i w:val="0"/>
        <w:smallCaps w:val="0"/>
        <w:strike w:val="0"/>
        <w:color w:val="000000"/>
        <w:sz w:val="22"/>
        <w:szCs w:val="22"/>
        <w:u w:val="none"/>
        <w:shd w:fill="auto" w:val="clear"/>
        <w:vertAlign w:val="baseline"/>
      </w:rPr>
    </w:pPr>
    <w:r w:rsidDel="00000000" w:rsidR="00000000" w:rsidRPr="00000000">
      <w:rPr>
        <w:rFonts w:ascii="Garamond" w:cs="Garamond" w:eastAsia="Garamond" w:hAnsi="Garamond"/>
        <w:b w:val="1"/>
        <w:i w:val="0"/>
        <w:smallCaps w:val="0"/>
        <w:strike w:val="0"/>
        <w:color w:val="000000"/>
        <w:sz w:val="22"/>
        <w:szCs w:val="22"/>
        <w:u w:val="none"/>
        <w:shd w:fill="auto" w:val="clear"/>
        <w:vertAlign w:val="baseline"/>
        <w:rtl w:val="0"/>
      </w:rPr>
      <w:t xml:space="preserve">Dark Patterns and Consumer Decision Making in Emerging Markets: Experimental Evidence from Indonesia</w:t>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wp:posOffset>
              </wp:positionH>
              <wp:positionV relativeFrom="paragraph">
                <wp:posOffset>77470</wp:posOffset>
              </wp:positionV>
              <wp:extent cx="0" cy="12700"/>
              <wp:effectExtent b="0" l="0" r="0" t="0"/>
              <wp:wrapNone/>
              <wp:docPr id="2108589429" name=""/>
              <a:graphic>
                <a:graphicData uri="http://schemas.microsoft.com/office/word/2010/wordprocessingShape">
                  <wps:wsp>
                    <wps:cNvCnPr/>
                    <wps:spPr>
                      <a:xfrm>
                        <a:off x="2471673" y="3780000"/>
                        <a:ext cx="5748655" cy="0"/>
                      </a:xfrm>
                      <a:prstGeom prst="straightConnector1">
                        <a:avLst/>
                      </a:prstGeom>
                      <a:noFill/>
                      <a:ln cap="flat" cmpd="sng" w="9525">
                        <a:solidFill>
                          <a:schemeClr val="dk1"/>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77470</wp:posOffset>
              </wp:positionV>
              <wp:extent cx="0" cy="12700"/>
              <wp:effectExtent b="0" l="0" r="0" t="0"/>
              <wp:wrapNone/>
              <wp:docPr id="2108589429"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0" cy="12700"/>
                      </a:xfrm>
                      <a:prstGeom prst="rect"/>
                      <a:ln/>
                    </pic:spPr>
                  </pic:pic>
                </a:graphicData>
              </a:graphic>
            </wp:anchor>
          </w:drawing>
        </mc:Fallback>
      </mc:AlternateContent>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8">
    <w:pPr>
      <w:tabs>
        <w:tab w:val="right" w:leader="none" w:pos="8931"/>
      </w:tabs>
      <w:spacing w:after="0" w:line="240" w:lineRule="auto"/>
      <w:rPr>
        <w:rFonts w:ascii="Garamond" w:cs="Garamond" w:eastAsia="Garamond" w:hAnsi="Garamond"/>
        <w:b w:val="1"/>
        <w:color w:val="000000"/>
        <w:sz w:val="36"/>
        <w:szCs w:val="36"/>
      </w:rPr>
    </w:pPr>
    <w:r w:rsidDel="00000000" w:rsidR="00000000" w:rsidRPr="00000000">
      <w:rPr>
        <w:rFonts w:ascii="Garamond" w:cs="Garamond" w:eastAsia="Garamond" w:hAnsi="Garamond"/>
        <w:b w:val="1"/>
        <w:color w:val="000000"/>
        <w:sz w:val="36"/>
        <w:szCs w:val="36"/>
        <w:rtl w:val="0"/>
      </w:rPr>
      <w:t xml:space="preserve">DATA: Journal of Information Systems and Management</w:t>
    </w:r>
  </w:p>
  <w:p w:rsidR="00000000" w:rsidDel="00000000" w:rsidP="00000000" w:rsidRDefault="00000000" w:rsidRPr="00000000" w14:paraId="00000089">
    <w:pPr>
      <w:tabs>
        <w:tab w:val="right" w:leader="none" w:pos="8931"/>
      </w:tabs>
      <w:spacing w:after="0" w:line="240" w:lineRule="auto"/>
      <w:rPr>
        <w:rFonts w:ascii="Garamond" w:cs="Garamond" w:eastAsia="Garamond" w:hAnsi="Garamond"/>
      </w:rPr>
    </w:pPr>
    <w:r w:rsidDel="00000000" w:rsidR="00000000" w:rsidRPr="00000000">
      <w:rPr>
        <w:rFonts w:ascii="Garamond" w:cs="Garamond" w:eastAsia="Garamond" w:hAnsi="Garamond"/>
        <w:rtl w:val="0"/>
      </w:rPr>
      <w:t xml:space="preserve">Volume. 1, Issue 1, June 2025</w:t>
    </w:r>
    <w:r w:rsidDel="00000000" w:rsidR="00000000" w:rsidRPr="00000000">
      <w:drawing>
        <wp:anchor allowOverlap="1" behindDoc="1" distB="0" distT="0" distL="0" distR="0" hidden="0" layoutInCell="1" locked="0" relativeHeight="0" simplePos="0">
          <wp:simplePos x="0" y="0"/>
          <wp:positionH relativeFrom="column">
            <wp:posOffset>4673600</wp:posOffset>
          </wp:positionH>
          <wp:positionV relativeFrom="paragraph">
            <wp:posOffset>90170</wp:posOffset>
          </wp:positionV>
          <wp:extent cx="1024466" cy="355600"/>
          <wp:effectExtent b="0" l="0" r="0" t="0"/>
          <wp:wrapNone/>
          <wp:docPr descr="A logo with blue letters&#10;&#10;Description automatically generated" id="2108589431" name="image2.jpg"/>
          <a:graphic>
            <a:graphicData uri="http://schemas.openxmlformats.org/drawingml/2006/picture">
              <pic:pic>
                <pic:nvPicPr>
                  <pic:cNvPr descr="A logo with blue letters&#10;&#10;Description automatically generated" id="0" name="image2.jpg"/>
                  <pic:cNvPicPr preferRelativeResize="0"/>
                </pic:nvPicPr>
                <pic:blipFill>
                  <a:blip r:embed="rId1"/>
                  <a:srcRect b="0" l="0" r="0" t="0"/>
                  <a:stretch>
                    <a:fillRect/>
                  </a:stretch>
                </pic:blipFill>
                <pic:spPr>
                  <a:xfrm>
                    <a:off x="0" y="0"/>
                    <a:ext cx="1024466" cy="355600"/>
                  </a:xfrm>
                  <a:prstGeom prst="rect"/>
                  <a:ln/>
                </pic:spPr>
              </pic:pic>
            </a:graphicData>
          </a:graphic>
        </wp:anchor>
      </w:drawing>
    </w:r>
  </w:p>
  <w:p w:rsidR="00000000" w:rsidDel="00000000" w:rsidP="00000000" w:rsidRDefault="00000000" w:rsidRPr="00000000" w14:paraId="0000008A">
    <w:pPr>
      <w:tabs>
        <w:tab w:val="right" w:leader="none" w:pos="8931"/>
      </w:tabs>
      <w:spacing w:after="0" w:line="240" w:lineRule="auto"/>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Page No: 1-10</w:t>
    </w:r>
  </w:p>
  <w:p w:rsidR="00000000" w:rsidDel="00000000" w:rsidP="00000000" w:rsidRDefault="00000000" w:rsidRPr="00000000" w14:paraId="0000008B">
    <w:pPr>
      <w:pBdr>
        <w:top w:space="0" w:sz="0" w:val="nil"/>
        <w:left w:space="0" w:sz="0" w:val="nil"/>
        <w:bottom w:color="000000" w:space="1" w:sz="6" w:val="single"/>
        <w:right w:space="0" w:sz="0" w:val="nil"/>
        <w:between w:space="0" w:sz="0" w:val="nil"/>
      </w:pBdr>
      <w:tabs>
        <w:tab w:val="center" w:leader="none" w:pos="4680"/>
        <w:tab w:val="right" w:leader="none" w:pos="9360"/>
      </w:tabs>
      <w:spacing w:after="0" w:line="240" w:lineRule="auto"/>
      <w:rPr>
        <w:color w:val="000000"/>
      </w:rPr>
    </w:pPr>
    <w:r w:rsidDel="00000000" w:rsidR="00000000" w:rsidRPr="00000000">
      <w:rPr>
        <w:rtl w:val="0"/>
      </w:rPr>
    </w:r>
  </w:p>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0" w:before="40" w:lineRule="auto"/>
    </w:pPr>
    <w:rPr>
      <w:rFonts w:ascii="Calibri" w:cs="Calibri" w:eastAsia="Calibri" w:hAnsi="Calibri"/>
      <w:color w:val="2f5496"/>
      <w:sz w:val="26"/>
      <w:szCs w:val="2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0" w:before="40" w:lineRule="auto"/>
    </w:pPr>
    <w:rPr>
      <w:rFonts w:ascii="Calibri" w:cs="Calibri" w:eastAsia="Calibri" w:hAnsi="Calibri"/>
      <w:i w:val="1"/>
      <w:color w:val="2f5496"/>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spacing w:after="0" w:line="240" w:lineRule="auto"/>
    </w:pPr>
    <w:rPr>
      <w:rFonts w:ascii="Calibri" w:cs="Calibri" w:eastAsia="Calibri" w:hAnsi="Calibri"/>
      <w:sz w:val="56"/>
      <w:szCs w:val="56"/>
    </w:rPr>
  </w:style>
  <w:style w:type="character" w:styleId="DefaultParagraphFont" w:default="1">
    <w:name w:val="Default Paragraph Font"/>
    <w:uiPriority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uiPriority w:val="9"/>
    <w:rsid w:val="00D03C7B"/>
    <w:rPr>
      <w:rFonts w:asciiTheme="majorHAnsi" w:cstheme="majorBidi" w:eastAsiaTheme="majorEastAsia" w:hAnsiTheme="majorHAnsi"/>
      <w:color w:val="2f5496" w:themeColor="accent1" w:themeShade="0000BF"/>
      <w:sz w:val="32"/>
      <w:szCs w:val="32"/>
    </w:rPr>
  </w:style>
  <w:style w:type="character" w:styleId="TitleChar" w:customStyle="1">
    <w:name w:val="Title Char"/>
    <w:basedOn w:val="DefaultParagraphFont"/>
    <w:link w:val="Title"/>
    <w:uiPriority w:val="10"/>
    <w:rsid w:val="00D03C7B"/>
    <w:rPr>
      <w:rFonts w:asciiTheme="majorHAnsi" w:cstheme="majorBidi" w:eastAsiaTheme="majorEastAsia" w:hAnsiTheme="majorHAnsi"/>
      <w:spacing w:val="-10"/>
      <w:kern w:val="28"/>
      <w:sz w:val="56"/>
      <w:szCs w:val="56"/>
    </w:rPr>
  </w:style>
  <w:style w:type="character" w:styleId="Heading3Char" w:customStyle="1">
    <w:name w:val="Heading 3 Char"/>
    <w:basedOn w:val="DefaultParagraphFont"/>
    <w:link w:val="Heading3"/>
    <w:uiPriority w:val="9"/>
    <w:semiHidden w:val="1"/>
    <w:rsid w:val="00034C3A"/>
    <w:rPr>
      <w:rFonts w:asciiTheme="majorHAnsi" w:cstheme="majorBidi" w:eastAsiaTheme="majorEastAsia" w:hAnsiTheme="majorHAnsi"/>
      <w:color w:val="1f3763" w:themeColor="accent1" w:themeShade="00007F"/>
      <w:sz w:val="24"/>
      <w:szCs w:val="24"/>
    </w:rPr>
  </w:style>
  <w:style w:type="character" w:styleId="go" w:customStyle="1">
    <w:name w:val="go"/>
    <w:basedOn w:val="DefaultParagraphFont"/>
    <w:rsid w:val="00034C3A"/>
  </w:style>
  <w:style w:type="paragraph" w:styleId="Header">
    <w:name w:val="header"/>
    <w:basedOn w:val="Normal"/>
    <w:link w:val="HeaderChar"/>
    <w:uiPriority w:val="99"/>
    <w:unhideWhenUsed w:val="1"/>
    <w:rsid w:val="006131A0"/>
    <w:pPr>
      <w:tabs>
        <w:tab w:val="center" w:pos="4680"/>
        <w:tab w:val="right" w:pos="9360"/>
      </w:tabs>
      <w:spacing w:after="0" w:line="240" w:lineRule="auto"/>
    </w:pPr>
  </w:style>
  <w:style w:type="character" w:styleId="HeaderChar" w:customStyle="1">
    <w:name w:val="Header Char"/>
    <w:basedOn w:val="DefaultParagraphFont"/>
    <w:link w:val="Header"/>
    <w:uiPriority w:val="99"/>
    <w:rsid w:val="006131A0"/>
  </w:style>
  <w:style w:type="paragraph" w:styleId="Footer">
    <w:name w:val="footer"/>
    <w:basedOn w:val="Normal"/>
    <w:link w:val="FooterChar"/>
    <w:uiPriority w:val="99"/>
    <w:unhideWhenUsed w:val="1"/>
    <w:rsid w:val="006131A0"/>
    <w:pPr>
      <w:tabs>
        <w:tab w:val="center" w:pos="4680"/>
        <w:tab w:val="right" w:pos="9360"/>
      </w:tabs>
      <w:spacing w:after="0" w:line="240" w:lineRule="auto"/>
    </w:pPr>
  </w:style>
  <w:style w:type="character" w:styleId="FooterChar" w:customStyle="1">
    <w:name w:val="Footer Char"/>
    <w:basedOn w:val="DefaultParagraphFont"/>
    <w:link w:val="Footer"/>
    <w:uiPriority w:val="99"/>
    <w:rsid w:val="006131A0"/>
  </w:style>
  <w:style w:type="paragraph" w:styleId="ListParagraph">
    <w:name w:val="List Paragraph"/>
    <w:basedOn w:val="Normal"/>
    <w:uiPriority w:val="34"/>
    <w:qFormat w:val="1"/>
    <w:rsid w:val="006131A0"/>
    <w:pPr>
      <w:spacing w:after="200" w:line="276" w:lineRule="auto"/>
      <w:ind w:left="720"/>
      <w:contextualSpacing w:val="1"/>
    </w:pPr>
    <w:rPr>
      <w:rFonts w:ascii="Calibri" w:cs="Times New Roman" w:eastAsia="Calibri" w:hAnsi="Calibri"/>
    </w:rPr>
  </w:style>
  <w:style w:type="paragraph" w:styleId="FootnoteText">
    <w:name w:val="footnote text"/>
    <w:basedOn w:val="Normal"/>
    <w:link w:val="FootnoteTextChar"/>
    <w:uiPriority w:val="99"/>
    <w:unhideWhenUsed w:val="1"/>
    <w:rsid w:val="006131A0"/>
    <w:pPr>
      <w:spacing w:after="0" w:line="240" w:lineRule="auto"/>
    </w:pPr>
    <w:rPr>
      <w:rFonts w:ascii="Calibri" w:cs="Times New Roman" w:eastAsia="Calibri" w:hAnsi="Calibri"/>
      <w:sz w:val="20"/>
      <w:szCs w:val="20"/>
    </w:rPr>
  </w:style>
  <w:style w:type="character" w:styleId="FootnoteTextChar" w:customStyle="1">
    <w:name w:val="Footnote Text Char"/>
    <w:basedOn w:val="DefaultParagraphFont"/>
    <w:link w:val="FootnoteText"/>
    <w:uiPriority w:val="99"/>
    <w:rsid w:val="006131A0"/>
    <w:rPr>
      <w:rFonts w:ascii="Calibri" w:cs="Times New Roman" w:eastAsia="Calibri" w:hAnsi="Calibri"/>
      <w:sz w:val="20"/>
      <w:szCs w:val="20"/>
    </w:rPr>
  </w:style>
  <w:style w:type="character" w:styleId="FootnoteReference">
    <w:name w:val="footnote reference"/>
    <w:uiPriority w:val="99"/>
    <w:semiHidden w:val="1"/>
    <w:unhideWhenUsed w:val="1"/>
    <w:rsid w:val="006131A0"/>
    <w:rPr>
      <w:vertAlign w:val="superscript"/>
    </w:rPr>
  </w:style>
  <w:style w:type="character" w:styleId="Heading2Char" w:customStyle="1">
    <w:name w:val="Heading 2 Char"/>
    <w:basedOn w:val="DefaultParagraphFont"/>
    <w:link w:val="Heading2"/>
    <w:uiPriority w:val="9"/>
    <w:rsid w:val="006131A0"/>
    <w:rPr>
      <w:rFonts w:asciiTheme="majorHAnsi" w:cstheme="majorBidi" w:eastAsiaTheme="majorEastAsia" w:hAnsiTheme="majorHAnsi"/>
      <w:color w:val="2f5496" w:themeColor="accent1" w:themeShade="0000BF"/>
      <w:sz w:val="26"/>
      <w:szCs w:val="26"/>
    </w:rPr>
  </w:style>
  <w:style w:type="character" w:styleId="Hyperlink">
    <w:name w:val="Hyperlink"/>
    <w:uiPriority w:val="99"/>
    <w:unhideWhenUsed w:val="1"/>
    <w:rsid w:val="00012409"/>
    <w:rPr>
      <w:color w:val="0000ff"/>
      <w:u w:val="single"/>
    </w:rPr>
  </w:style>
  <w:style w:type="paragraph" w:styleId="Caption">
    <w:name w:val="caption"/>
    <w:basedOn w:val="Normal"/>
    <w:next w:val="Normal"/>
    <w:uiPriority w:val="35"/>
    <w:unhideWhenUsed w:val="1"/>
    <w:qFormat w:val="1"/>
    <w:rsid w:val="00086EEA"/>
    <w:pPr>
      <w:spacing w:after="200" w:line="240" w:lineRule="auto"/>
    </w:pPr>
    <w:rPr>
      <w:i w:val="1"/>
      <w:iCs w:val="1"/>
      <w:color w:val="44546a" w:themeColor="text2"/>
      <w:sz w:val="18"/>
      <w:szCs w:val="18"/>
    </w:rPr>
  </w:style>
  <w:style w:type="table" w:styleId="PlainTable2">
    <w:name w:val="Plain Table 2"/>
    <w:basedOn w:val="TableNormal"/>
    <w:uiPriority w:val="42"/>
    <w:rsid w:val="00B54DCE"/>
    <w:pPr>
      <w:spacing w:after="0" w:line="240" w:lineRule="auto"/>
    </w:pPr>
    <w:tblPr>
      <w:tblStyleRowBandSize w:val="1"/>
      <w:tblStyleColBandSize w:val="1"/>
      <w:tblBorders>
        <w:top w:color="7f7f7f" w:space="0" w:sz="4" w:themeColor="text1" w:themeTint="000080" w:val="single"/>
        <w:bottom w:color="7f7f7f" w:space="0" w:sz="4" w:themeColor="text1" w:themeTint="000080" w:val="single"/>
      </w:tblBorders>
    </w:tblPr>
    <w:tblStylePr w:type="firstRow">
      <w:rPr>
        <w:b w:val="1"/>
        <w:bCs w:val="1"/>
      </w:rPr>
      <w:tblPr/>
      <w:tcPr>
        <w:tcBorders>
          <w:bottom w:color="7f7f7f" w:space="0" w:sz="4" w:themeColor="text1" w:themeTint="000080" w:val="single"/>
        </w:tcBorders>
      </w:tcPr>
    </w:tblStylePr>
    <w:tblStylePr w:type="lastRow">
      <w:rPr>
        <w:b w:val="1"/>
        <w:bCs w:val="1"/>
      </w:rPr>
      <w:tblPr/>
      <w:tcPr>
        <w:tcBorders>
          <w:top w:color="7f7f7f" w:space="0" w:sz="4" w:themeColor="text1" w:themeTint="000080" w:val="single"/>
        </w:tcBorders>
      </w:tcPr>
    </w:tblStylePr>
    <w:tblStylePr w:type="firstCol">
      <w:rPr>
        <w:b w:val="1"/>
        <w:bCs w:val="1"/>
      </w:rPr>
    </w:tblStylePr>
    <w:tblStylePr w:type="lastCol">
      <w:rPr>
        <w:b w:val="1"/>
        <w:bCs w:val="1"/>
      </w:rPr>
    </w:tblStylePr>
    <w:tblStylePr w:type="band1Vert">
      <w:tblPr/>
      <w:tcPr>
        <w:tcBorders>
          <w:left w:color="7f7f7f" w:space="0" w:sz="4" w:themeColor="text1" w:themeTint="000080" w:val="single"/>
          <w:right w:color="7f7f7f" w:space="0" w:sz="4" w:themeColor="text1" w:themeTint="000080" w:val="single"/>
        </w:tcBorders>
      </w:tcPr>
    </w:tblStylePr>
    <w:tblStylePr w:type="band2Vert">
      <w:tblPr/>
      <w:tcPr>
        <w:tcBorders>
          <w:left w:color="7f7f7f" w:space="0" w:sz="4" w:themeColor="text1" w:themeTint="000080" w:val="single"/>
          <w:right w:color="7f7f7f" w:space="0" w:sz="4" w:themeColor="text1" w:themeTint="000080" w:val="single"/>
        </w:tcBorders>
      </w:tcPr>
    </w:tblStylePr>
    <w:tblStylePr w:type="band1Horz">
      <w:tblPr/>
      <w:tcPr>
        <w:tcBorders>
          <w:top w:color="7f7f7f" w:space="0" w:sz="4" w:themeColor="text1" w:themeTint="000080" w:val="single"/>
          <w:bottom w:color="7f7f7f" w:space="0" w:sz="4" w:themeColor="text1" w:themeTint="000080" w:val="single"/>
        </w:tcBorders>
      </w:tcPr>
    </w:tblStylePr>
  </w:style>
  <w:style w:type="character" w:styleId="CommentReference">
    <w:name w:val="annotation reference"/>
    <w:basedOn w:val="DefaultParagraphFont"/>
    <w:uiPriority w:val="99"/>
    <w:semiHidden w:val="1"/>
    <w:unhideWhenUsed w:val="1"/>
    <w:rsid w:val="0089274B"/>
    <w:rPr>
      <w:sz w:val="16"/>
      <w:szCs w:val="16"/>
    </w:rPr>
  </w:style>
  <w:style w:type="paragraph" w:styleId="CommentText">
    <w:name w:val="annotation text"/>
    <w:basedOn w:val="Normal"/>
    <w:link w:val="CommentTextChar"/>
    <w:uiPriority w:val="99"/>
    <w:semiHidden w:val="1"/>
    <w:unhideWhenUsed w:val="1"/>
    <w:rsid w:val="0089274B"/>
    <w:pPr>
      <w:spacing w:line="240" w:lineRule="auto"/>
    </w:pPr>
    <w:rPr>
      <w:sz w:val="20"/>
      <w:szCs w:val="20"/>
    </w:rPr>
  </w:style>
  <w:style w:type="character" w:styleId="CommentTextChar" w:customStyle="1">
    <w:name w:val="Comment Text Char"/>
    <w:basedOn w:val="DefaultParagraphFont"/>
    <w:link w:val="CommentText"/>
    <w:uiPriority w:val="99"/>
    <w:semiHidden w:val="1"/>
    <w:rsid w:val="0089274B"/>
    <w:rPr>
      <w:sz w:val="20"/>
      <w:szCs w:val="20"/>
    </w:rPr>
  </w:style>
  <w:style w:type="paragraph" w:styleId="CommentSubject">
    <w:name w:val="annotation subject"/>
    <w:basedOn w:val="CommentText"/>
    <w:next w:val="CommentText"/>
    <w:link w:val="CommentSubjectChar"/>
    <w:uiPriority w:val="99"/>
    <w:semiHidden w:val="1"/>
    <w:unhideWhenUsed w:val="1"/>
    <w:rsid w:val="0089274B"/>
    <w:rPr>
      <w:b w:val="1"/>
      <w:bCs w:val="1"/>
    </w:rPr>
  </w:style>
  <w:style w:type="character" w:styleId="CommentSubjectChar" w:customStyle="1">
    <w:name w:val="Comment Subject Char"/>
    <w:basedOn w:val="CommentTextChar"/>
    <w:link w:val="CommentSubject"/>
    <w:uiPriority w:val="99"/>
    <w:semiHidden w:val="1"/>
    <w:rsid w:val="0089274B"/>
    <w:rPr>
      <w:b w:val="1"/>
      <w:bCs w:val="1"/>
      <w:sz w:val="20"/>
      <w:szCs w:val="20"/>
    </w:rPr>
  </w:style>
  <w:style w:type="paragraph" w:styleId="BalloonText">
    <w:name w:val="Balloon Text"/>
    <w:basedOn w:val="Normal"/>
    <w:link w:val="BalloonTextChar"/>
    <w:uiPriority w:val="99"/>
    <w:semiHidden w:val="1"/>
    <w:unhideWhenUsed w:val="1"/>
    <w:rsid w:val="0089274B"/>
    <w:pPr>
      <w:spacing w:after="0" w:line="240" w:lineRule="auto"/>
    </w:pPr>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89274B"/>
    <w:rPr>
      <w:rFonts w:ascii="Segoe UI" w:cs="Segoe UI" w:hAnsi="Segoe UI"/>
      <w:sz w:val="18"/>
      <w:szCs w:val="18"/>
    </w:rPr>
  </w:style>
  <w:style w:type="table" w:styleId="TableGrid">
    <w:name w:val="Table Grid"/>
    <w:basedOn w:val="TableNormal"/>
    <w:uiPriority w:val="39"/>
    <w:qFormat w:val="1"/>
    <w:rsid w:val="0089274B"/>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PageNumber">
    <w:name w:val="page number"/>
    <w:basedOn w:val="DefaultParagraphFont"/>
    <w:rsid w:val="007B75C5"/>
  </w:style>
  <w:style w:type="character" w:styleId="UnresolvedMention">
    <w:name w:val="Unresolved Mention"/>
    <w:basedOn w:val="DefaultParagraphFont"/>
    <w:uiPriority w:val="99"/>
    <w:semiHidden w:val="1"/>
    <w:unhideWhenUsed w:val="1"/>
    <w:rsid w:val="00B622D1"/>
    <w:rPr>
      <w:color w:val="605e5c"/>
      <w:shd w:color="auto" w:fill="e1dfdd" w:val="clear"/>
    </w:rPr>
  </w:style>
  <w:style w:type="paragraph" w:styleId="HTMLPreformatted">
    <w:name w:val="HTML Preformatted"/>
    <w:basedOn w:val="Normal"/>
    <w:link w:val="HTMLPreformattedChar"/>
    <w:uiPriority w:val="99"/>
    <w:semiHidden w:val="1"/>
    <w:unhideWhenUsed w:val="1"/>
    <w:rsid w:val="006D0C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cs="Courier New" w:eastAsia="Times New Roman" w:hAnsi="Courier New"/>
      <w:sz w:val="20"/>
      <w:szCs w:val="20"/>
    </w:rPr>
  </w:style>
  <w:style w:type="character" w:styleId="HTMLPreformattedChar" w:customStyle="1">
    <w:name w:val="HTML Preformatted Char"/>
    <w:basedOn w:val="DefaultParagraphFont"/>
    <w:link w:val="HTMLPreformatted"/>
    <w:uiPriority w:val="99"/>
    <w:semiHidden w:val="1"/>
    <w:rsid w:val="006D0C39"/>
    <w:rPr>
      <w:rFonts w:ascii="Courier New" w:cs="Courier New" w:eastAsia="Times New Roman" w:hAnsi="Courier New"/>
      <w:sz w:val="20"/>
      <w:szCs w:val="20"/>
    </w:rPr>
  </w:style>
  <w:style w:type="paragraph" w:styleId="Default" w:customStyle="1">
    <w:name w:val="Default"/>
    <w:rsid w:val="00041A65"/>
    <w:pPr>
      <w:autoSpaceDE w:val="0"/>
      <w:autoSpaceDN w:val="0"/>
      <w:adjustRightInd w:val="0"/>
      <w:spacing w:after="0" w:line="240" w:lineRule="auto"/>
    </w:pPr>
    <w:rPr>
      <w:rFonts w:ascii="Times New Roman" w:cs="Times New Roman" w:hAnsi="Times New Roman"/>
      <w:color w:val="000000"/>
      <w:sz w:val="24"/>
      <w:szCs w:val="24"/>
      <w:lang w:val="id-ID"/>
    </w:rPr>
  </w:style>
  <w:style w:type="character" w:styleId="FollowedHyperlink">
    <w:name w:val="FollowedHyperlink"/>
    <w:basedOn w:val="DefaultParagraphFont"/>
    <w:uiPriority w:val="99"/>
    <w:semiHidden w:val="1"/>
    <w:unhideWhenUsed w:val="1"/>
    <w:rsid w:val="00B35205"/>
    <w:rPr>
      <w:color w:val="954f72" w:themeColor="followedHyperlink"/>
      <w:u w:val="single"/>
    </w:rPr>
  </w:style>
  <w:style w:type="paragraph" w:styleId="NormalWeb">
    <w:name w:val="Normal (Web)"/>
    <w:basedOn w:val="Normal"/>
    <w:uiPriority w:val="99"/>
    <w:unhideWhenUsed w:val="1"/>
    <w:rsid w:val="002F1AE4"/>
    <w:pPr>
      <w:spacing w:after="100" w:afterAutospacing="1" w:before="100" w:beforeAutospacing="1" w:line="240" w:lineRule="auto"/>
    </w:pPr>
    <w:rPr>
      <w:rFonts w:ascii="Times New Roman" w:cs="Times New Roman" w:eastAsia="Times New Roman" w:hAnsi="Times New Roman"/>
      <w:sz w:val="24"/>
      <w:szCs w:val="24"/>
    </w:rPr>
  </w:style>
  <w:style w:type="table" w:styleId="PlainTable3">
    <w:name w:val="Plain Table 3"/>
    <w:basedOn w:val="TableNormal"/>
    <w:uiPriority w:val="43"/>
    <w:rsid w:val="00ED7773"/>
    <w:pPr>
      <w:spacing w:after="0" w:line="240" w:lineRule="auto"/>
    </w:pPr>
    <w:tblPr>
      <w:tblStyleRowBandSize w:val="1"/>
      <w:tblStyleColBandSize w:val="1"/>
    </w:tblPr>
    <w:tblStylePr w:type="firstRow">
      <w:rPr>
        <w:b w:val="1"/>
        <w:bCs w:val="1"/>
        <w:caps w:val="1"/>
      </w:rPr>
      <w:tblPr/>
      <w:tcPr>
        <w:tcBorders>
          <w:bottom w:color="7f7f7f" w:space="0" w:sz="4" w:themeColor="text1" w:themeTint="000080" w:val="single"/>
        </w:tcBorders>
      </w:tcPr>
    </w:tblStylePr>
    <w:tblStylePr w:type="lastRow">
      <w:rPr>
        <w:b w:val="1"/>
        <w:bCs w:val="1"/>
        <w:caps w:val="1"/>
      </w:rPr>
      <w:tblPr/>
      <w:tcPr>
        <w:tcBorders>
          <w:top w:space="0" w:sz="0" w:val="nil"/>
        </w:tcBorders>
      </w:tcPr>
    </w:tblStylePr>
    <w:tblStylePr w:type="firstCol">
      <w:rPr>
        <w:b w:val="1"/>
        <w:bCs w:val="1"/>
        <w:caps w:val="1"/>
      </w:rPr>
      <w:tblPr/>
      <w:tcPr>
        <w:tcBorders>
          <w:right w:color="7f7f7f" w:space="0" w:sz="4" w:themeColor="text1" w:themeTint="000080" w:val="single"/>
        </w:tcBorders>
      </w:tcPr>
    </w:tblStylePr>
    <w:tblStylePr w:type="lastCol">
      <w:rPr>
        <w:b w:val="1"/>
        <w:bCs w:val="1"/>
        <w:caps w:val="1"/>
      </w:rPr>
      <w:tblPr/>
      <w:tcPr>
        <w:tcBorders>
          <w:left w:space="0" w:sz="0" w:val="nil"/>
        </w:tcBorders>
      </w:tcPr>
    </w:tblStylePr>
    <w:tblStylePr w:type="band1Vert">
      <w:tblPr/>
      <w:tcPr>
        <w:shd w:color="auto" w:fill="f2f2f2" w:themeFill="background1" w:themeFillShade="0000F2" w:val="clear"/>
      </w:tcPr>
    </w:tblStylePr>
    <w:tblStylePr w:type="band1Horz">
      <w:tblPr/>
      <w:tcPr>
        <w:shd w:color="auto" w:fill="f2f2f2" w:themeFill="background1" w:themeFillShade="0000F2" w:val="clear"/>
      </w:tcPr>
    </w:tblStylePr>
    <w:tblStylePr w:type="neCell">
      <w:tblPr/>
      <w:tcPr>
        <w:tcBorders>
          <w:left w:space="0" w:sz="0" w:val="nil"/>
        </w:tcBorders>
      </w:tcPr>
    </w:tblStylePr>
    <w:tblStylePr w:type="nwCell">
      <w:tblPr/>
      <w:tcPr>
        <w:tcBorders>
          <w:right w:space="0" w:sz="0" w:val="nil"/>
        </w:tcBorders>
      </w:tcPr>
    </w:tblStylePr>
  </w:style>
  <w:style w:type="character" w:styleId="rynqvb" w:customStyle="1">
    <w:name w:val="rynqvb"/>
    <w:basedOn w:val="DefaultParagraphFont"/>
    <w:rsid w:val="0051790B"/>
  </w:style>
  <w:style w:type="character" w:styleId="PlaceholderText">
    <w:name w:val="Placeholder Text"/>
    <w:basedOn w:val="DefaultParagraphFont"/>
    <w:uiPriority w:val="99"/>
    <w:semiHidden w:val="1"/>
    <w:rsid w:val="00110EAF"/>
    <w:rPr>
      <w:color w:val="666666"/>
    </w:rPr>
  </w:style>
  <w:style w:type="character" w:styleId="Heading4Char" w:customStyle="1">
    <w:name w:val="Heading 4 Char"/>
    <w:basedOn w:val="DefaultParagraphFont"/>
    <w:link w:val="Heading4"/>
    <w:uiPriority w:val="9"/>
    <w:semiHidden w:val="1"/>
    <w:rsid w:val="00341734"/>
    <w:rPr>
      <w:rFonts w:asciiTheme="majorHAnsi" w:cstheme="majorBidi" w:eastAsiaTheme="majorEastAsia" w:hAnsiTheme="majorHAnsi"/>
      <w:i w:val="1"/>
      <w:iCs w:val="1"/>
      <w:color w:val="2f5496" w:themeColor="accent1" w:themeShade="0000BF"/>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tblStylePr w:type="band1Horz">
      <w:tcPr>
        <w:tcBorders>
          <w:top w:color="7f7f7f" w:space="0" w:sz="4" w:val="single"/>
          <w:bottom w:color="7f7f7f" w:space="0" w:sz="4" w:val="single"/>
        </w:tcBorders>
      </w:tcPr>
    </w:tblStylePr>
    <w:tblStylePr w:type="band1Vert">
      <w:tcPr>
        <w:tcBorders>
          <w:left w:color="7f7f7f" w:space="0" w:sz="4" w:val="single"/>
          <w:right w:color="7f7f7f" w:space="0" w:sz="4" w:val="single"/>
        </w:tcBorders>
      </w:tcPr>
    </w:tblStylePr>
    <w:tblStylePr w:type="band2Vert">
      <w:tcPr>
        <w:tcBorders>
          <w:left w:color="7f7f7f" w:space="0" w:sz="4" w:val="single"/>
          <w:right w:color="7f7f7f" w:space="0" w:sz="4" w:val="single"/>
        </w:tcBorders>
      </w:tcPr>
    </w:tblStylePr>
    <w:tblStylePr w:type="firstCol">
      <w:rPr>
        <w:b w:val="1"/>
      </w:rPr>
    </w:tblStylePr>
    <w:tblStylePr w:type="firstRow">
      <w:rPr>
        <w:b w:val="1"/>
      </w:rPr>
      <w:tcPr>
        <w:tcBorders>
          <w:bottom w:color="7f7f7f" w:space="0" w:sz="4" w:val="single"/>
        </w:tcBorders>
      </w:tcPr>
    </w:tblStylePr>
    <w:tblStylePr w:type="lastCol">
      <w:rPr>
        <w:b w:val="1"/>
      </w:rPr>
    </w:tblStylePr>
    <w:tblStylePr w:type="lastRow">
      <w:rPr>
        <w:b w:val="1"/>
      </w:rPr>
      <w:tcPr>
        <w:tcBorders>
          <w:top w:color="7f7f7f" w:space="0" w:sz="4" w:val="single"/>
        </w:tcBorders>
      </w:tcPr>
    </w:tblStylePr>
  </w:style>
</w:styles>
</file>

<file path=word/_rels/document.xml.rels><?xml version="1.0" encoding="UTF-8" standalone="yes"?><Relationships xmlns="http://schemas.openxmlformats.org/package/2006/relationships"><Relationship Id="rId11" Type="http://schemas.openxmlformats.org/officeDocument/2006/relationships/header" Target="header1.xml"/><Relationship Id="rId10" Type="http://schemas.openxmlformats.org/officeDocument/2006/relationships/header" Target="header3.xml"/><Relationship Id="rId13" Type="http://schemas.openxmlformats.org/officeDocument/2006/relationships/footer" Target="footer2.xml"/><Relationship Id="rId12" Type="http://schemas.openxmlformats.org/officeDocument/2006/relationships/footer" Target="foot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andiuceng@yahoo.com" TargetMode="External"/><Relationship Id="rId8"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Garamond-regular.ttf"/><Relationship Id="rId2" Type="http://schemas.openxmlformats.org/officeDocument/2006/relationships/font" Target="fonts/Garamond-bold.ttf"/><Relationship Id="rId3" Type="http://schemas.openxmlformats.org/officeDocument/2006/relationships/font" Target="fonts/Garamond-italic.ttf"/><Relationship Id="rId4" Type="http://schemas.openxmlformats.org/officeDocument/2006/relationships/font" Target="fonts/Garamond-boldItalic.ttf"/><Relationship Id="rId5" Type="http://schemas.openxmlformats.org/officeDocument/2006/relationships/font" Target="fonts/NotoSansSymbols-regular.ttf"/><Relationship Id="rId6" Type="http://schemas.openxmlformats.org/officeDocument/2006/relationships/font" Target="fonts/NotoSansSymbols-bold.ttf"/><Relationship Id="rId7" Type="http://schemas.openxmlformats.org/officeDocument/2006/relationships/font" Target="fonts/CambriaMath-regular.ttf"/></Relationships>
</file>

<file path=word/_rels/footer1.xml.rels><?xml version="1.0" encoding="UTF-8" standalone="yes"?><Relationships xmlns="http://schemas.openxmlformats.org/package/2006/relationships"><Relationship Id="rId1" Type="http://schemas.openxmlformats.org/officeDocument/2006/relationships/hyperlink" Target="https://journal.idscipub.com/data"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journal.idscipub.com/data"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0bIUEqA/m2A/3LTcna8D59hVATg==">CgMxLjAyDmguYjN5eTZoeWJiczh6OAByITFNRXNvWGs3aHEwUml3Mm9hNmUtWk5wajFDQjlFc2x6ZQ==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2025-10-01T06:18:00Z</dcterms:created>
  <dc:creator>Mohammad Sofyan</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adc409db-1889-37f0-98a3-e3680c5ed1cd</vt:lpwstr>
  </property>
  <property fmtid="{D5CDD505-2E9C-101B-9397-08002B2CF9AE}" pid="4" name="Mendeley Citation Style_1">
    <vt:lpwstr>http://www.zotero.org/styles/apa</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https://csl.mendeley.com/styles/475823531/apa</vt:lpwstr>
  </property>
  <property fmtid="{D5CDD505-2E9C-101B-9397-08002B2CF9AE}" pid="8" name="Mendeley Recent Style Name 1_1">
    <vt:lpwstr>American Psychological Association 6th edition - Mincho Slavov</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GrammarlyDocumentId">
    <vt:lpwstr>e06d41cad19b3276f3509cc6de3683e5048ad7d054c89b10f25777e9cfcf04ce</vt:lpwstr>
  </property>
</Properties>
</file>